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E0" w:rsidRPr="00086EC9" w:rsidRDefault="000547E0" w:rsidP="005F341B">
      <w:pPr>
        <w:pStyle w:val="BodyText"/>
        <w:jc w:val="center"/>
      </w:pPr>
      <w:r w:rsidRPr="00086EC9">
        <w:t>Tobacco Task Force Report</w:t>
      </w:r>
    </w:p>
    <w:p w:rsidR="000547E0" w:rsidRPr="00086EC9" w:rsidRDefault="000547E0" w:rsidP="005F341B">
      <w:pPr>
        <w:pStyle w:val="BodyText"/>
        <w:jc w:val="center"/>
      </w:pPr>
      <w:smartTag w:uri="urn:schemas-microsoft-com:office:smarttags" w:element="PlaceName">
        <w:smartTag w:uri="urn:schemas-microsoft-com:office:smarttags" w:element="place">
          <w:smartTag w:uri="urn:schemas-microsoft-com:office:smarttags" w:element="PlaceName">
            <w:r w:rsidRPr="00086EC9">
              <w:t>Cecil</w:t>
            </w:r>
          </w:smartTag>
          <w:r w:rsidRPr="00086EC9">
            <w:t xml:space="preserve"> </w:t>
          </w:r>
          <w:smartTag w:uri="urn:schemas-microsoft-com:office:smarttags" w:element="PlaceName">
            <w:r w:rsidRPr="00086EC9">
              <w:t>County</w:t>
            </w:r>
          </w:smartTag>
        </w:smartTag>
      </w:smartTag>
      <w:r w:rsidRPr="00086EC9">
        <w:t xml:space="preserve"> Community Health Advisory Committee</w:t>
      </w:r>
    </w:p>
    <w:p w:rsidR="000547E0" w:rsidRDefault="000547E0" w:rsidP="005D64EC">
      <w:pPr>
        <w:pStyle w:val="BodyText"/>
        <w:jc w:val="center"/>
      </w:pPr>
      <w:r w:rsidRPr="00086EC9">
        <w:t xml:space="preserve">July </w:t>
      </w:r>
      <w:r>
        <w:t>15</w:t>
      </w:r>
      <w:r w:rsidRPr="00EB5C47">
        <w:t>, 2010</w:t>
      </w:r>
    </w:p>
    <w:p w:rsidR="000547E0" w:rsidRPr="00EB5C47" w:rsidRDefault="000547E0" w:rsidP="005D64EC">
      <w:pPr>
        <w:pStyle w:val="BodyText"/>
        <w:jc w:val="center"/>
      </w:pPr>
    </w:p>
    <w:p w:rsidR="000547E0" w:rsidRPr="00EB5C47" w:rsidRDefault="000547E0" w:rsidP="005D64EC">
      <w:pPr>
        <w:pStyle w:val="BodyTextIndent"/>
        <w:ind w:left="0"/>
        <w:rPr>
          <w:sz w:val="24"/>
        </w:rPr>
      </w:pPr>
      <w:r w:rsidRPr="00EB5C47">
        <w:rPr>
          <w:sz w:val="24"/>
        </w:rPr>
        <w:t xml:space="preserve">The following summarizes </w:t>
      </w:r>
      <w:r>
        <w:rPr>
          <w:sz w:val="24"/>
        </w:rPr>
        <w:t xml:space="preserve">accomplishments </w:t>
      </w:r>
      <w:r w:rsidRPr="00EB5C47">
        <w:rPr>
          <w:sz w:val="24"/>
        </w:rPr>
        <w:t xml:space="preserve">of the Local Action Plan for the Local Public Health Tobacco Use Prevention and Cessation Program Grant FY 2010 after sustaining a $223,000 budget </w:t>
      </w:r>
      <w:r>
        <w:rPr>
          <w:sz w:val="24"/>
        </w:rPr>
        <w:t>reduction</w:t>
      </w:r>
      <w:r w:rsidRPr="00EB5C47">
        <w:rPr>
          <w:sz w:val="24"/>
        </w:rPr>
        <w:t>.  Activities in the grant</w:t>
      </w:r>
      <w:r>
        <w:rPr>
          <w:sz w:val="24"/>
        </w:rPr>
        <w:t>’s School C</w:t>
      </w:r>
      <w:r w:rsidRPr="00EB5C47">
        <w:rPr>
          <w:sz w:val="24"/>
        </w:rPr>
        <w:t>omponent were el</w:t>
      </w:r>
      <w:r>
        <w:rPr>
          <w:sz w:val="24"/>
        </w:rPr>
        <w:t>iminated and activities in the Community C</w:t>
      </w:r>
      <w:r w:rsidRPr="00EB5C47">
        <w:rPr>
          <w:sz w:val="24"/>
        </w:rPr>
        <w:t>omponent were severely reduced</w:t>
      </w:r>
      <w:r>
        <w:rPr>
          <w:sz w:val="24"/>
        </w:rPr>
        <w:t>.</w:t>
      </w:r>
    </w:p>
    <w:p w:rsidR="000547E0" w:rsidRPr="00EB5C47" w:rsidRDefault="000547E0" w:rsidP="005D64EC">
      <w:pPr>
        <w:pStyle w:val="BodyText"/>
        <w:ind w:firstLine="720"/>
        <w:rPr>
          <w:b w:val="0"/>
        </w:rPr>
      </w:pPr>
    </w:p>
    <w:p w:rsidR="000547E0" w:rsidRPr="00EB5C47" w:rsidRDefault="000547E0" w:rsidP="005D64EC">
      <w:pPr>
        <w:pStyle w:val="BodyText"/>
      </w:pPr>
      <w:r w:rsidRPr="00EB5C47">
        <w:t>Community</w:t>
      </w:r>
    </w:p>
    <w:p w:rsidR="000547E0" w:rsidRPr="00453ED4" w:rsidRDefault="000547E0" w:rsidP="005D64EC">
      <w:pPr>
        <w:pStyle w:val="BodyText"/>
        <w:numPr>
          <w:ilvl w:val="0"/>
          <w:numId w:val="1"/>
        </w:numPr>
        <w:spacing w:after="160"/>
        <w:rPr>
          <w:b w:val="0"/>
        </w:rPr>
      </w:pPr>
      <w:r w:rsidRPr="00453ED4">
        <w:rPr>
          <w:b w:val="0"/>
        </w:rPr>
        <w:t>Tobacco Task Force meetings were held:  9/11/09, 11/6/09, 2/5/10 and 5/7/10.</w:t>
      </w:r>
    </w:p>
    <w:p w:rsidR="000547E0" w:rsidRPr="00453ED4" w:rsidRDefault="000547E0" w:rsidP="005D64EC">
      <w:pPr>
        <w:pStyle w:val="BodyText"/>
        <w:numPr>
          <w:ilvl w:val="0"/>
          <w:numId w:val="1"/>
        </w:numPr>
        <w:spacing w:after="160"/>
        <w:rPr>
          <w:b w:val="0"/>
        </w:rPr>
      </w:pPr>
      <w:r>
        <w:rPr>
          <w:b w:val="0"/>
        </w:rPr>
        <w:t xml:space="preserve">Sixty-seven </w:t>
      </w:r>
      <w:r w:rsidRPr="00453ED4">
        <w:rPr>
          <w:b w:val="0"/>
        </w:rPr>
        <w:t xml:space="preserve">print media campaigns were implemented through educational materials, displays, flyers and community newsletters with an estimated 158,305 contacts; and 59 awareness campaigns educated 2,416 </w:t>
      </w:r>
      <w:smartTag w:uri="urn:schemas-microsoft-com:office:smarttags" w:element="place">
        <w:smartTag w:uri="urn:schemas-microsoft-com:office:smarttags" w:element="PlaceName">
          <w:r w:rsidRPr="00453ED4">
            <w:rPr>
              <w:b w:val="0"/>
            </w:rPr>
            <w:t>Cecil</w:t>
          </w:r>
        </w:smartTag>
        <w:r w:rsidRPr="00453ED4">
          <w:rPr>
            <w:b w:val="0"/>
          </w:rPr>
          <w:t xml:space="preserve"> </w:t>
        </w:r>
        <w:smartTag w:uri="urn:schemas-microsoft-com:office:smarttags" w:element="PlaceName">
          <w:r w:rsidRPr="00453ED4">
            <w:rPr>
              <w:b w:val="0"/>
            </w:rPr>
            <w:t>County</w:t>
          </w:r>
        </w:smartTag>
      </w:smartTag>
      <w:r w:rsidRPr="00453ED4">
        <w:rPr>
          <w:b w:val="0"/>
        </w:rPr>
        <w:t xml:space="preserve"> residents about Tobacco Use Prevention and Cessation resources.</w:t>
      </w:r>
    </w:p>
    <w:p w:rsidR="000547E0" w:rsidRPr="00AB6961" w:rsidRDefault="000547E0" w:rsidP="005D64EC">
      <w:pPr>
        <w:pStyle w:val="BodyText"/>
        <w:numPr>
          <w:ilvl w:val="0"/>
          <w:numId w:val="1"/>
        </w:numPr>
        <w:spacing w:after="160"/>
        <w:rPr>
          <w:b w:val="0"/>
        </w:rPr>
      </w:pPr>
      <w:r>
        <w:rPr>
          <w:b w:val="0"/>
        </w:rPr>
        <w:t>T</w:t>
      </w:r>
      <w:r w:rsidRPr="00453ED4">
        <w:rPr>
          <w:b w:val="0"/>
        </w:rPr>
        <w:t>welve “Community Volunteer Outreach Trainings” have been held</w:t>
      </w:r>
      <w:r>
        <w:rPr>
          <w:b w:val="0"/>
        </w:rPr>
        <w:t>,</w:t>
      </w:r>
      <w:r w:rsidRPr="00453ED4">
        <w:rPr>
          <w:b w:val="0"/>
        </w:rPr>
        <w:t xml:space="preserve"> training 111 volunteers who provided 3,245 one-to-one educational contacts in their communities about free tobacco</w:t>
      </w:r>
      <w:r w:rsidRPr="00AB6961">
        <w:rPr>
          <w:b w:val="0"/>
        </w:rPr>
        <w:t xml:space="preserve"> cessation services offered by the Health Department.  </w:t>
      </w:r>
    </w:p>
    <w:p w:rsidR="000547E0" w:rsidRPr="00AA7EB2" w:rsidRDefault="000547E0" w:rsidP="005D64EC">
      <w:pPr>
        <w:pStyle w:val="BodyText"/>
        <w:numPr>
          <w:ilvl w:val="0"/>
          <w:numId w:val="1"/>
        </w:numPr>
        <w:spacing w:after="160"/>
        <w:rPr>
          <w:b w:val="0"/>
        </w:rPr>
      </w:pPr>
      <w:r w:rsidRPr="00AB6961">
        <w:rPr>
          <w:b w:val="0"/>
        </w:rPr>
        <w:t>The Secondhand Smoke Program, “Care for Their Air”, addresses the issue</w:t>
      </w:r>
      <w:r w:rsidRPr="00AA7EB2">
        <w:rPr>
          <w:b w:val="0"/>
        </w:rPr>
        <w:t xml:space="preserve"> of tobacco use and secondhand smoke, especially among pregnant women and famil</w:t>
      </w:r>
      <w:r>
        <w:rPr>
          <w:b w:val="0"/>
        </w:rPr>
        <w:t>ies with young children.  To date, 20</w:t>
      </w:r>
      <w:r w:rsidRPr="00AA7EB2">
        <w:rPr>
          <w:b w:val="0"/>
        </w:rPr>
        <w:t xml:space="preserve"> secondhand smoke programs were completed </w:t>
      </w:r>
      <w:r>
        <w:rPr>
          <w:b w:val="0"/>
        </w:rPr>
        <w:t>educating 1,293 individuals</w:t>
      </w:r>
      <w:r w:rsidRPr="00AA7EB2">
        <w:rPr>
          <w:b w:val="0"/>
        </w:rPr>
        <w:t>.</w:t>
      </w:r>
    </w:p>
    <w:p w:rsidR="000547E0" w:rsidRPr="00AA7EB2" w:rsidRDefault="000547E0" w:rsidP="005D64EC">
      <w:pPr>
        <w:pStyle w:val="BodyText"/>
        <w:numPr>
          <w:ilvl w:val="0"/>
          <w:numId w:val="1"/>
        </w:numPr>
        <w:spacing w:after="160"/>
        <w:rPr>
          <w:b w:val="0"/>
        </w:rPr>
      </w:pPr>
      <w:r w:rsidRPr="00AA7EB2">
        <w:rPr>
          <w:b w:val="0"/>
        </w:rPr>
        <w:t xml:space="preserve">Six community organizations and churches were each awarded $500 mini-grants to conduct tobacco use prevention activities for the minority population in </w:t>
      </w:r>
      <w:smartTag w:uri="urn:schemas-microsoft-com:office:smarttags" w:element="PlaceName">
        <w:r w:rsidRPr="00AA7EB2">
          <w:rPr>
            <w:b w:val="0"/>
          </w:rPr>
          <w:t>Cecil</w:t>
        </w:r>
      </w:smartTag>
      <w:r w:rsidRPr="00AA7EB2">
        <w:rPr>
          <w:b w:val="0"/>
        </w:rPr>
        <w:t xml:space="preserve"> </w:t>
      </w:r>
      <w:smartTag w:uri="urn:schemas-microsoft-com:office:smarttags" w:element="PlaceName">
        <w:r w:rsidRPr="00AA7EB2">
          <w:rPr>
            <w:b w:val="0"/>
          </w:rPr>
          <w:t>County</w:t>
        </w:r>
      </w:smartTag>
      <w:r w:rsidRPr="00AA7EB2">
        <w:rPr>
          <w:b w:val="0"/>
        </w:rPr>
        <w:t xml:space="preserve">:  </w:t>
      </w:r>
      <w:smartTag w:uri="urn:schemas-microsoft-com:office:smarttags" w:element="PlaceName">
        <w:r w:rsidRPr="00AA7EB2">
          <w:rPr>
            <w:b w:val="0"/>
          </w:rPr>
          <w:t>Cokesbury</w:t>
        </w:r>
      </w:smartTag>
      <w:r w:rsidRPr="00AA7EB2">
        <w:rPr>
          <w:b w:val="0"/>
        </w:rPr>
        <w:t xml:space="preserve"> </w:t>
      </w:r>
      <w:smartTag w:uri="urn:schemas-microsoft-com:office:smarttags" w:element="PlaceName">
        <w:r w:rsidRPr="00AA7EB2">
          <w:rPr>
            <w:b w:val="0"/>
          </w:rPr>
          <w:t>United</w:t>
        </w:r>
      </w:smartTag>
      <w:r w:rsidRPr="00AA7EB2">
        <w:rPr>
          <w:b w:val="0"/>
        </w:rPr>
        <w:t xml:space="preserve"> </w:t>
      </w:r>
      <w:smartTag w:uri="urn:schemas-microsoft-com:office:smarttags" w:element="PlaceName">
        <w:r w:rsidRPr="00AA7EB2">
          <w:rPr>
            <w:b w:val="0"/>
          </w:rPr>
          <w:t>Methodist</w:t>
        </w:r>
      </w:smartTag>
      <w:r w:rsidRPr="00AA7EB2">
        <w:rPr>
          <w:b w:val="0"/>
        </w:rPr>
        <w:t xml:space="preserve"> </w:t>
      </w:r>
      <w:smartTag w:uri="urn:schemas-microsoft-com:office:smarttags" w:element="PlaceType">
        <w:r w:rsidRPr="00AA7EB2">
          <w:rPr>
            <w:b w:val="0"/>
          </w:rPr>
          <w:t>Church</w:t>
        </w:r>
      </w:smartTag>
      <w:r w:rsidRPr="00AA7EB2">
        <w:rPr>
          <w:b w:val="0"/>
        </w:rPr>
        <w:t xml:space="preserve">, </w:t>
      </w:r>
      <w:smartTag w:uri="urn:schemas-microsoft-com:office:smarttags" w:element="PlaceType">
        <w:r w:rsidRPr="00AA7EB2">
          <w:rPr>
            <w:b w:val="0"/>
          </w:rPr>
          <w:t>River</w:t>
        </w:r>
      </w:smartTag>
      <w:r w:rsidRPr="00AA7EB2">
        <w:rPr>
          <w:b w:val="0"/>
        </w:rPr>
        <w:t xml:space="preserve"> </w:t>
      </w:r>
      <w:smartTag w:uri="urn:schemas-microsoft-com:office:smarttags" w:element="PlaceName">
        <w:r w:rsidRPr="00AA7EB2">
          <w:rPr>
            <w:b w:val="0"/>
          </w:rPr>
          <w:t>Rock</w:t>
        </w:r>
      </w:smartTag>
      <w:r w:rsidRPr="00AA7EB2">
        <w:rPr>
          <w:b w:val="0"/>
        </w:rPr>
        <w:t xml:space="preserve"> </w:t>
      </w:r>
      <w:smartTag w:uri="urn:schemas-microsoft-com:office:smarttags" w:element="PlaceName">
        <w:r w:rsidRPr="00AA7EB2">
          <w:rPr>
            <w:b w:val="0"/>
          </w:rPr>
          <w:t>Apostolic</w:t>
        </w:r>
      </w:smartTag>
      <w:r w:rsidRPr="00AA7EB2">
        <w:rPr>
          <w:b w:val="0"/>
        </w:rPr>
        <w:t xml:space="preserve"> </w:t>
      </w:r>
      <w:smartTag w:uri="urn:schemas-microsoft-com:office:smarttags" w:element="PlaceName">
        <w:r w:rsidRPr="00AA7EB2">
          <w:rPr>
            <w:b w:val="0"/>
          </w:rPr>
          <w:t>Faith</w:t>
        </w:r>
      </w:smartTag>
      <w:r w:rsidRPr="00AA7EB2">
        <w:rPr>
          <w:b w:val="0"/>
        </w:rPr>
        <w:t xml:space="preserve"> </w:t>
      </w:r>
      <w:smartTag w:uri="urn:schemas-microsoft-com:office:smarttags" w:element="PlaceType">
        <w:r w:rsidRPr="00AA7EB2">
          <w:rPr>
            <w:b w:val="0"/>
          </w:rPr>
          <w:t>Church</w:t>
        </w:r>
      </w:smartTag>
      <w:r w:rsidRPr="00AA7EB2">
        <w:rPr>
          <w:b w:val="0"/>
        </w:rPr>
        <w:t xml:space="preserve">, </w:t>
      </w:r>
      <w:smartTag w:uri="urn:schemas-microsoft-com:office:smarttags" w:element="PlaceName">
        <w:r w:rsidRPr="00AA7EB2">
          <w:rPr>
            <w:b w:val="0"/>
          </w:rPr>
          <w:t>Generation</w:t>
        </w:r>
      </w:smartTag>
      <w:r w:rsidRPr="00AA7EB2">
        <w:rPr>
          <w:b w:val="0"/>
        </w:rPr>
        <w:t xml:space="preserve"> </w:t>
      </w:r>
      <w:smartTag w:uri="urn:schemas-microsoft-com:office:smarttags" w:element="PlaceName">
        <w:r w:rsidRPr="00AA7EB2">
          <w:rPr>
            <w:b w:val="0"/>
          </w:rPr>
          <w:t>Station</w:t>
        </w:r>
      </w:smartTag>
      <w:r w:rsidRPr="00AA7EB2">
        <w:rPr>
          <w:b w:val="0"/>
        </w:rPr>
        <w:t xml:space="preserve"> </w:t>
      </w:r>
      <w:smartTag w:uri="urn:schemas-microsoft-com:office:smarttags" w:element="PlaceName">
        <w:r w:rsidRPr="00AA7EB2">
          <w:rPr>
            <w:b w:val="0"/>
          </w:rPr>
          <w:t>Youth</w:t>
        </w:r>
      </w:smartTag>
      <w:r w:rsidRPr="00AA7EB2">
        <w:rPr>
          <w:b w:val="0"/>
        </w:rPr>
        <w:t xml:space="preserve"> </w:t>
      </w:r>
      <w:smartTag w:uri="urn:schemas-microsoft-com:office:smarttags" w:element="PlaceType">
        <w:r w:rsidRPr="00AA7EB2">
          <w:rPr>
            <w:b w:val="0"/>
          </w:rPr>
          <w:t>Center</w:t>
        </w:r>
      </w:smartTag>
      <w:r w:rsidRPr="00AA7EB2">
        <w:rPr>
          <w:b w:val="0"/>
        </w:rPr>
        <w:t xml:space="preserve">, Girl Scouts of the Chesapeake Bay, Girl Scouts Troop #20 for </w:t>
      </w:r>
      <w:smartTag w:uri="urn:schemas-microsoft-com:office:smarttags" w:element="PlaceName">
        <w:smartTag w:uri="urn:schemas-microsoft-com:office:smarttags" w:element="place">
          <w:r w:rsidRPr="00AA7EB2">
            <w:rPr>
              <w:b w:val="0"/>
            </w:rPr>
            <w:t>Rudy</w:t>
          </w:r>
        </w:smartTag>
        <w:r w:rsidRPr="00AA7EB2">
          <w:rPr>
            <w:b w:val="0"/>
          </w:rPr>
          <w:t xml:space="preserve"> </w:t>
        </w:r>
        <w:smartTag w:uri="urn:schemas-microsoft-com:office:smarttags" w:element="PlaceType">
          <w:r w:rsidRPr="00AA7EB2">
            <w:rPr>
              <w:b w:val="0"/>
            </w:rPr>
            <w:t>Park</w:t>
          </w:r>
        </w:smartTag>
      </w:smartTag>
      <w:r w:rsidRPr="00AA7EB2">
        <w:rPr>
          <w:b w:val="0"/>
        </w:rPr>
        <w:t>, and “Haven House, Inc.", a m</w:t>
      </w:r>
      <w:r>
        <w:rPr>
          <w:b w:val="0"/>
        </w:rPr>
        <w:t>en’s drug rehabilitation shelter</w:t>
      </w:r>
      <w:r w:rsidRPr="00AA7EB2">
        <w:rPr>
          <w:b w:val="0"/>
        </w:rPr>
        <w:t>.</w:t>
      </w:r>
    </w:p>
    <w:p w:rsidR="000547E0" w:rsidRPr="00AA7EB2" w:rsidRDefault="000547E0" w:rsidP="00C73745">
      <w:pPr>
        <w:rPr>
          <w:b/>
        </w:rPr>
      </w:pPr>
      <w:r w:rsidRPr="00AA7EB2">
        <w:rPr>
          <w:b/>
        </w:rPr>
        <w:t xml:space="preserve">Cessation </w:t>
      </w:r>
    </w:p>
    <w:p w:rsidR="000547E0" w:rsidRDefault="000547E0" w:rsidP="00C73745">
      <w:pPr>
        <w:pStyle w:val="BodyText"/>
        <w:numPr>
          <w:ilvl w:val="0"/>
          <w:numId w:val="3"/>
        </w:numPr>
        <w:tabs>
          <w:tab w:val="clear" w:pos="900"/>
          <w:tab w:val="num" w:pos="360"/>
        </w:tabs>
        <w:ind w:left="360"/>
        <w:rPr>
          <w:b w:val="0"/>
        </w:rPr>
      </w:pPr>
      <w:r w:rsidRPr="00AA7EB2">
        <w:rPr>
          <w:b w:val="0"/>
        </w:rPr>
        <w:t xml:space="preserve">Due to budget reductions, the Nicotine Replacement and Chantix </w:t>
      </w:r>
      <w:r w:rsidRPr="00AA7EB2">
        <w:rPr>
          <w:b w:val="0"/>
          <w:vertAlign w:val="superscript"/>
        </w:rPr>
        <w:t>TM</w:t>
      </w:r>
      <w:r w:rsidRPr="00AA7EB2">
        <w:rPr>
          <w:b w:val="0"/>
        </w:rPr>
        <w:t xml:space="preserve"> Program was eliminated</w:t>
      </w:r>
      <w:r w:rsidRPr="00C73745">
        <w:rPr>
          <w:b w:val="0"/>
        </w:rPr>
        <w:t>.</w:t>
      </w:r>
    </w:p>
    <w:p w:rsidR="000547E0" w:rsidRPr="00C73745" w:rsidRDefault="000547E0" w:rsidP="00C73745">
      <w:pPr>
        <w:pStyle w:val="BodyText"/>
        <w:ind w:left="360"/>
        <w:rPr>
          <w:b w:val="0"/>
        </w:rPr>
      </w:pPr>
    </w:p>
    <w:p w:rsidR="000547E0" w:rsidRPr="00AA7EB2" w:rsidRDefault="000547E0" w:rsidP="005D64EC">
      <w:pPr>
        <w:pStyle w:val="BodyText"/>
        <w:numPr>
          <w:ilvl w:val="0"/>
          <w:numId w:val="3"/>
        </w:numPr>
        <w:tabs>
          <w:tab w:val="clear" w:pos="900"/>
          <w:tab w:val="num" w:pos="360"/>
        </w:tabs>
        <w:spacing w:after="160"/>
        <w:ind w:left="360"/>
        <w:rPr>
          <w:b w:val="0"/>
        </w:rPr>
      </w:pPr>
      <w:r w:rsidRPr="00AA7EB2">
        <w:rPr>
          <w:b w:val="0"/>
        </w:rPr>
        <w:t>“Tools To Be Tobacco Free” cessation programs</w:t>
      </w:r>
      <w:r>
        <w:rPr>
          <w:b w:val="0"/>
        </w:rPr>
        <w:t xml:space="preserve"> and </w:t>
      </w:r>
      <w:r w:rsidRPr="00AA7EB2">
        <w:rPr>
          <w:b w:val="0"/>
        </w:rPr>
        <w:t>one-to-one consultations</w:t>
      </w:r>
      <w:r>
        <w:rPr>
          <w:b w:val="0"/>
        </w:rPr>
        <w:t xml:space="preserve"> for</w:t>
      </w:r>
      <w:r w:rsidRPr="00AA7EB2">
        <w:rPr>
          <w:b w:val="0"/>
        </w:rPr>
        <w:t xml:space="preserve"> </w:t>
      </w:r>
      <w:smartTag w:uri="urn:schemas-microsoft-com:office:smarttags" w:element="place">
        <w:smartTag w:uri="urn:schemas-microsoft-com:office:smarttags" w:element="PlaceName">
          <w:r w:rsidRPr="00AA7EB2">
            <w:rPr>
              <w:b w:val="0"/>
            </w:rPr>
            <w:t>Cecil</w:t>
          </w:r>
        </w:smartTag>
        <w:r w:rsidRPr="00AA7EB2">
          <w:rPr>
            <w:b w:val="0"/>
          </w:rPr>
          <w:t xml:space="preserve"> </w:t>
        </w:r>
        <w:smartTag w:uri="urn:schemas-microsoft-com:office:smarttags" w:element="PlaceName">
          <w:r w:rsidRPr="00AA7EB2">
            <w:rPr>
              <w:b w:val="0"/>
            </w:rPr>
            <w:t>County</w:t>
          </w:r>
        </w:smartTag>
      </w:smartTag>
      <w:r>
        <w:rPr>
          <w:b w:val="0"/>
        </w:rPr>
        <w:t xml:space="preserve"> residents have reached</w:t>
      </w:r>
      <w:r w:rsidRPr="00AA7EB2">
        <w:rPr>
          <w:b w:val="0"/>
        </w:rPr>
        <w:t xml:space="preserve"> </w:t>
      </w:r>
      <w:r>
        <w:rPr>
          <w:b w:val="0"/>
        </w:rPr>
        <w:t>868</w:t>
      </w:r>
      <w:r w:rsidRPr="009D221B">
        <w:rPr>
          <w:b w:val="0"/>
        </w:rPr>
        <w:t xml:space="preserve"> individuals.</w:t>
      </w:r>
      <w:r w:rsidRPr="005D64EC">
        <w:rPr>
          <w:b w:val="0"/>
        </w:rPr>
        <w:t xml:space="preserve"> </w:t>
      </w:r>
    </w:p>
    <w:p w:rsidR="000547E0" w:rsidRPr="00AA7EB2" w:rsidRDefault="000547E0" w:rsidP="005D64EC">
      <w:pPr>
        <w:pStyle w:val="BodyText"/>
      </w:pPr>
      <w:r w:rsidRPr="00AA7EB2">
        <w:t>Enforcement</w:t>
      </w:r>
    </w:p>
    <w:p w:rsidR="000547E0" w:rsidRPr="00EB1C5D" w:rsidRDefault="000547E0" w:rsidP="005D64EC">
      <w:pPr>
        <w:pStyle w:val="BodyTextIndent"/>
        <w:numPr>
          <w:ilvl w:val="0"/>
          <w:numId w:val="3"/>
        </w:numPr>
        <w:tabs>
          <w:tab w:val="clear" w:pos="900"/>
          <w:tab w:val="num" w:pos="360"/>
        </w:tabs>
        <w:ind w:left="360"/>
        <w:rPr>
          <w:sz w:val="24"/>
        </w:rPr>
      </w:pPr>
      <w:r w:rsidRPr="00AA7EB2">
        <w:rPr>
          <w:sz w:val="24"/>
        </w:rPr>
        <w:t xml:space="preserve">As a part of the Law Enforcement Subcommittee meeting </w:t>
      </w:r>
      <w:r w:rsidRPr="005D64EC">
        <w:rPr>
          <w:sz w:val="24"/>
        </w:rPr>
        <w:t>on September 11, 2009, a</w:t>
      </w:r>
      <w:r w:rsidRPr="00AA7EB2">
        <w:rPr>
          <w:sz w:val="24"/>
        </w:rPr>
        <w:t xml:space="preserve"> Tobacco Compliance Check Training was held.  Law enforcement officers were trained on tobacco compliance check policies and repo</w:t>
      </w:r>
      <w:r>
        <w:rPr>
          <w:sz w:val="24"/>
        </w:rPr>
        <w:t xml:space="preserve">rt form documentation, and </w:t>
      </w:r>
      <w:r w:rsidRPr="00AA7EB2">
        <w:rPr>
          <w:sz w:val="24"/>
        </w:rPr>
        <w:t xml:space="preserve">updated on tobacco </w:t>
      </w:r>
      <w:r w:rsidRPr="00EB1C5D">
        <w:rPr>
          <w:sz w:val="24"/>
        </w:rPr>
        <w:t>legislation</w:t>
      </w:r>
      <w:r w:rsidRPr="00EB1C5D">
        <w:rPr>
          <w:b/>
          <w:sz w:val="24"/>
        </w:rPr>
        <w:t xml:space="preserve">.  </w:t>
      </w:r>
      <w:r w:rsidRPr="00EB1C5D">
        <w:rPr>
          <w:sz w:val="24"/>
        </w:rPr>
        <w:t>Subcommittee members reviewed Community Tobacco Use Prevention Mini-grant applications and selected six mini-grants to award for FY2010.  On November 6, 2009, a Law Enforcement Subcommittee meeting was held to discuss tobacco vendor citations from FY 2009 that were reported to the Maryland Comptroller’s Office in September 2009.  The Maryland Comptroller’s Office held Administrative Hearings for the 11 tobacco vendors.  All vendors provided evidence of company policy, training and commitment for enforcing the prohibition of selling tobacco to minors, thus these cases were dismissed since they were considered a first offense.</w:t>
      </w:r>
    </w:p>
    <w:p w:rsidR="000547E0" w:rsidRPr="00EB1C5D" w:rsidRDefault="000547E0" w:rsidP="005D64EC">
      <w:pPr>
        <w:pStyle w:val="BodyTextIndent"/>
        <w:ind w:left="360"/>
        <w:rPr>
          <w:sz w:val="24"/>
        </w:rPr>
      </w:pPr>
    </w:p>
    <w:p w:rsidR="000547E0" w:rsidRPr="00EB1C5D" w:rsidRDefault="000547E0" w:rsidP="005D64EC">
      <w:pPr>
        <w:pStyle w:val="BodyTextIndent"/>
        <w:numPr>
          <w:ilvl w:val="0"/>
          <w:numId w:val="3"/>
        </w:numPr>
        <w:tabs>
          <w:tab w:val="clear" w:pos="900"/>
          <w:tab w:val="num" w:pos="360"/>
        </w:tabs>
        <w:ind w:left="360"/>
        <w:rPr>
          <w:sz w:val="24"/>
        </w:rPr>
      </w:pPr>
      <w:r w:rsidRPr="00EB1C5D">
        <w:rPr>
          <w:sz w:val="24"/>
        </w:rPr>
        <w:t xml:space="preserve">In FY 2010, six law enforcement agencies provided 145.5 hours of tobacco vendor education and compliance checks activities: Cecil County Sheriff’s Office, Elkton Police Department, Maryland </w:t>
      </w:r>
      <w:r w:rsidRPr="00EB1C5D">
        <w:rPr>
          <w:sz w:val="24"/>
        </w:rPr>
        <w:lastRenderedPageBreak/>
        <w:t>State Police Barrack F, Department of Natural Resources Police, North East Police Department, and Rising Sun Police Department.  Through their combined effo</w:t>
      </w:r>
      <w:r>
        <w:rPr>
          <w:sz w:val="24"/>
        </w:rPr>
        <w:t>rts</w:t>
      </w:r>
      <w:r w:rsidRPr="00EB1C5D">
        <w:rPr>
          <w:sz w:val="24"/>
        </w:rPr>
        <w:t>:</w:t>
      </w:r>
    </w:p>
    <w:tbl>
      <w:tblPr>
        <w:tblW w:w="0" w:type="auto"/>
        <w:jc w:val="center"/>
        <w:tblInd w:w="-2085" w:type="dxa"/>
        <w:tblBorders>
          <w:top w:val="single" w:sz="4" w:space="0" w:color="auto"/>
          <w:left w:val="single" w:sz="4" w:space="0" w:color="auto"/>
          <w:bottom w:val="single" w:sz="4" w:space="0" w:color="auto"/>
          <w:right w:val="single" w:sz="4" w:space="0" w:color="auto"/>
        </w:tblBorders>
        <w:tblLook w:val="00A0"/>
      </w:tblPr>
      <w:tblGrid>
        <w:gridCol w:w="7442"/>
        <w:gridCol w:w="1681"/>
      </w:tblGrid>
      <w:tr w:rsidR="000547E0" w:rsidRPr="00EB1C5D" w:rsidTr="00AB6961">
        <w:trPr>
          <w:jc w:val="center"/>
        </w:trPr>
        <w:tc>
          <w:tcPr>
            <w:tcW w:w="7442" w:type="dxa"/>
            <w:tcBorders>
              <w:top w:val="single" w:sz="4" w:space="0" w:color="auto"/>
              <w:bottom w:val="single" w:sz="4" w:space="0" w:color="auto"/>
              <w:right w:val="single" w:sz="4" w:space="0" w:color="auto"/>
            </w:tcBorders>
          </w:tcPr>
          <w:p w:rsidR="000547E0" w:rsidRPr="00EB1C5D" w:rsidRDefault="000547E0">
            <w:r w:rsidRPr="00EB1C5D">
              <w:rPr>
                <w:sz w:val="22"/>
                <w:szCs w:val="22"/>
              </w:rPr>
              <w:t>Merchants Educated  on Youth Access Law</w:t>
            </w:r>
          </w:p>
        </w:tc>
        <w:tc>
          <w:tcPr>
            <w:tcW w:w="1681" w:type="dxa"/>
            <w:tcBorders>
              <w:top w:val="single" w:sz="4" w:space="0" w:color="auto"/>
              <w:left w:val="single" w:sz="4" w:space="0" w:color="auto"/>
              <w:bottom w:val="single" w:sz="4" w:space="0" w:color="auto"/>
            </w:tcBorders>
          </w:tcPr>
          <w:p w:rsidR="000547E0" w:rsidRPr="00EB1C5D" w:rsidRDefault="000547E0">
            <w:pPr>
              <w:jc w:val="center"/>
              <w:rPr>
                <w:b/>
                <w:bCs/>
              </w:rPr>
            </w:pPr>
            <w:r w:rsidRPr="00EB1C5D">
              <w:rPr>
                <w:b/>
                <w:bCs/>
              </w:rPr>
              <w:t>110</w:t>
            </w:r>
          </w:p>
        </w:tc>
      </w:tr>
      <w:tr w:rsidR="000547E0" w:rsidRPr="00EB1C5D" w:rsidTr="00AB6961">
        <w:trPr>
          <w:jc w:val="center"/>
        </w:trPr>
        <w:tc>
          <w:tcPr>
            <w:tcW w:w="7442" w:type="dxa"/>
            <w:tcBorders>
              <w:top w:val="single" w:sz="4" w:space="0" w:color="auto"/>
              <w:bottom w:val="single" w:sz="4" w:space="0" w:color="auto"/>
              <w:right w:val="single" w:sz="4" w:space="0" w:color="auto"/>
            </w:tcBorders>
          </w:tcPr>
          <w:p w:rsidR="000547E0" w:rsidRPr="00EB1C5D" w:rsidRDefault="000547E0">
            <w:r w:rsidRPr="00EB1C5D">
              <w:rPr>
                <w:sz w:val="22"/>
                <w:szCs w:val="22"/>
              </w:rPr>
              <w:t>Merchants Educated  on Product Placement</w:t>
            </w:r>
          </w:p>
        </w:tc>
        <w:tc>
          <w:tcPr>
            <w:tcW w:w="1681" w:type="dxa"/>
            <w:tcBorders>
              <w:top w:val="single" w:sz="4" w:space="0" w:color="auto"/>
              <w:left w:val="single" w:sz="4" w:space="0" w:color="auto"/>
              <w:bottom w:val="single" w:sz="4" w:space="0" w:color="auto"/>
            </w:tcBorders>
          </w:tcPr>
          <w:p w:rsidR="000547E0" w:rsidRPr="00EB1C5D" w:rsidRDefault="000547E0">
            <w:pPr>
              <w:tabs>
                <w:tab w:val="left" w:pos="882"/>
              </w:tabs>
              <w:jc w:val="center"/>
            </w:pPr>
            <w:r w:rsidRPr="00EB1C5D">
              <w:t>61</w:t>
            </w:r>
          </w:p>
        </w:tc>
      </w:tr>
      <w:tr w:rsidR="000547E0" w:rsidRPr="00EB1C5D" w:rsidTr="00AB6961">
        <w:trPr>
          <w:jc w:val="center"/>
        </w:trPr>
        <w:tc>
          <w:tcPr>
            <w:tcW w:w="7442" w:type="dxa"/>
            <w:tcBorders>
              <w:top w:val="single" w:sz="4" w:space="0" w:color="auto"/>
              <w:bottom w:val="single" w:sz="4" w:space="0" w:color="auto"/>
              <w:right w:val="single" w:sz="4" w:space="0" w:color="auto"/>
            </w:tcBorders>
          </w:tcPr>
          <w:p w:rsidR="000547E0" w:rsidRPr="00EB1C5D" w:rsidRDefault="000547E0">
            <w:r w:rsidRPr="00EB1C5D">
              <w:rPr>
                <w:sz w:val="22"/>
                <w:szCs w:val="22"/>
              </w:rPr>
              <w:t>Product Placement Citations</w:t>
            </w:r>
          </w:p>
        </w:tc>
        <w:tc>
          <w:tcPr>
            <w:tcW w:w="1681" w:type="dxa"/>
            <w:tcBorders>
              <w:top w:val="single" w:sz="4" w:space="0" w:color="auto"/>
              <w:left w:val="single" w:sz="4" w:space="0" w:color="auto"/>
              <w:bottom w:val="single" w:sz="4" w:space="0" w:color="auto"/>
            </w:tcBorders>
          </w:tcPr>
          <w:p w:rsidR="000547E0" w:rsidRPr="00EB1C5D" w:rsidRDefault="000547E0">
            <w:pPr>
              <w:jc w:val="center"/>
              <w:rPr>
                <w:b/>
                <w:bCs/>
              </w:rPr>
            </w:pPr>
            <w:r w:rsidRPr="00EB1C5D">
              <w:rPr>
                <w:b/>
                <w:bCs/>
              </w:rPr>
              <w:t>5</w:t>
            </w:r>
          </w:p>
        </w:tc>
      </w:tr>
      <w:tr w:rsidR="000547E0" w:rsidRPr="00EB1C5D" w:rsidTr="00AB6961">
        <w:trPr>
          <w:jc w:val="center"/>
        </w:trPr>
        <w:tc>
          <w:tcPr>
            <w:tcW w:w="7442" w:type="dxa"/>
            <w:tcBorders>
              <w:top w:val="single" w:sz="4" w:space="0" w:color="auto"/>
              <w:bottom w:val="single" w:sz="4" w:space="0" w:color="auto"/>
              <w:right w:val="single" w:sz="4" w:space="0" w:color="auto"/>
            </w:tcBorders>
          </w:tcPr>
          <w:p w:rsidR="000547E0" w:rsidRPr="00EB1C5D" w:rsidRDefault="000547E0">
            <w:r w:rsidRPr="00EB1C5D">
              <w:rPr>
                <w:sz w:val="22"/>
                <w:szCs w:val="22"/>
              </w:rPr>
              <w:t>Product Placement Compliance Checks</w:t>
            </w:r>
          </w:p>
        </w:tc>
        <w:tc>
          <w:tcPr>
            <w:tcW w:w="1681" w:type="dxa"/>
            <w:tcBorders>
              <w:top w:val="single" w:sz="4" w:space="0" w:color="auto"/>
              <w:left w:val="single" w:sz="4" w:space="0" w:color="auto"/>
              <w:bottom w:val="single" w:sz="4" w:space="0" w:color="auto"/>
            </w:tcBorders>
          </w:tcPr>
          <w:p w:rsidR="000547E0" w:rsidRPr="00EB1C5D" w:rsidRDefault="000547E0">
            <w:pPr>
              <w:jc w:val="center"/>
              <w:rPr>
                <w:b/>
                <w:bCs/>
              </w:rPr>
            </w:pPr>
            <w:r w:rsidRPr="00EB1C5D">
              <w:rPr>
                <w:b/>
                <w:bCs/>
              </w:rPr>
              <w:t>55</w:t>
            </w:r>
          </w:p>
        </w:tc>
      </w:tr>
      <w:tr w:rsidR="000547E0" w:rsidRPr="00EB1C5D" w:rsidTr="00AB6961">
        <w:trPr>
          <w:jc w:val="center"/>
        </w:trPr>
        <w:tc>
          <w:tcPr>
            <w:tcW w:w="7442" w:type="dxa"/>
            <w:tcBorders>
              <w:top w:val="single" w:sz="4" w:space="0" w:color="auto"/>
              <w:bottom w:val="single" w:sz="4" w:space="0" w:color="auto"/>
              <w:right w:val="single" w:sz="4" w:space="0" w:color="auto"/>
            </w:tcBorders>
          </w:tcPr>
          <w:p w:rsidR="000547E0" w:rsidRPr="00EB1C5D" w:rsidRDefault="000547E0">
            <w:r w:rsidRPr="00EB1C5D">
              <w:rPr>
                <w:sz w:val="22"/>
                <w:szCs w:val="22"/>
              </w:rPr>
              <w:t xml:space="preserve">Tobacco Merchant Sales Citations </w:t>
            </w:r>
          </w:p>
        </w:tc>
        <w:tc>
          <w:tcPr>
            <w:tcW w:w="1681" w:type="dxa"/>
            <w:tcBorders>
              <w:top w:val="single" w:sz="4" w:space="0" w:color="auto"/>
              <w:left w:val="single" w:sz="4" w:space="0" w:color="auto"/>
              <w:bottom w:val="single" w:sz="4" w:space="0" w:color="auto"/>
            </w:tcBorders>
          </w:tcPr>
          <w:p w:rsidR="000547E0" w:rsidRPr="00EB1C5D" w:rsidRDefault="000547E0">
            <w:pPr>
              <w:jc w:val="center"/>
              <w:rPr>
                <w:b/>
                <w:bCs/>
              </w:rPr>
            </w:pPr>
            <w:r w:rsidRPr="00EB1C5D">
              <w:rPr>
                <w:b/>
                <w:bCs/>
              </w:rPr>
              <w:t>8</w:t>
            </w:r>
          </w:p>
        </w:tc>
      </w:tr>
      <w:tr w:rsidR="000547E0" w:rsidRPr="00EB1C5D" w:rsidTr="00AB6961">
        <w:trPr>
          <w:jc w:val="center"/>
        </w:trPr>
        <w:tc>
          <w:tcPr>
            <w:tcW w:w="7442" w:type="dxa"/>
            <w:tcBorders>
              <w:top w:val="single" w:sz="4" w:space="0" w:color="auto"/>
              <w:bottom w:val="single" w:sz="4" w:space="0" w:color="auto"/>
              <w:right w:val="single" w:sz="4" w:space="0" w:color="auto"/>
            </w:tcBorders>
          </w:tcPr>
          <w:p w:rsidR="000547E0" w:rsidRPr="00EB1C5D" w:rsidRDefault="000547E0">
            <w:r w:rsidRPr="00EB1C5D">
              <w:rPr>
                <w:sz w:val="22"/>
                <w:szCs w:val="22"/>
              </w:rPr>
              <w:t>Youth Access Compliance Checks</w:t>
            </w:r>
          </w:p>
        </w:tc>
        <w:tc>
          <w:tcPr>
            <w:tcW w:w="1681" w:type="dxa"/>
            <w:tcBorders>
              <w:top w:val="single" w:sz="4" w:space="0" w:color="auto"/>
              <w:left w:val="single" w:sz="4" w:space="0" w:color="auto"/>
              <w:bottom w:val="single" w:sz="4" w:space="0" w:color="auto"/>
            </w:tcBorders>
          </w:tcPr>
          <w:p w:rsidR="000547E0" w:rsidRPr="00EB1C5D" w:rsidRDefault="000547E0">
            <w:pPr>
              <w:jc w:val="center"/>
              <w:rPr>
                <w:b/>
                <w:bCs/>
              </w:rPr>
            </w:pPr>
            <w:r w:rsidRPr="00EB1C5D">
              <w:rPr>
                <w:b/>
                <w:bCs/>
              </w:rPr>
              <w:t>50</w:t>
            </w:r>
          </w:p>
        </w:tc>
      </w:tr>
      <w:tr w:rsidR="000547E0" w:rsidRPr="00EB1C5D" w:rsidTr="00AB6961">
        <w:trPr>
          <w:jc w:val="center"/>
        </w:trPr>
        <w:tc>
          <w:tcPr>
            <w:tcW w:w="7442" w:type="dxa"/>
            <w:tcBorders>
              <w:top w:val="single" w:sz="4" w:space="0" w:color="auto"/>
              <w:bottom w:val="single" w:sz="4" w:space="0" w:color="auto"/>
              <w:right w:val="single" w:sz="4" w:space="0" w:color="auto"/>
            </w:tcBorders>
          </w:tcPr>
          <w:p w:rsidR="000547E0" w:rsidRPr="00EB1C5D" w:rsidRDefault="000547E0">
            <w:r w:rsidRPr="00EB1C5D">
              <w:rPr>
                <w:sz w:val="22"/>
                <w:szCs w:val="22"/>
              </w:rPr>
              <w:t>Youth Tobacco Possession Citations</w:t>
            </w:r>
          </w:p>
        </w:tc>
        <w:tc>
          <w:tcPr>
            <w:tcW w:w="1681" w:type="dxa"/>
            <w:tcBorders>
              <w:top w:val="single" w:sz="4" w:space="0" w:color="auto"/>
              <w:left w:val="single" w:sz="4" w:space="0" w:color="auto"/>
              <w:bottom w:val="single" w:sz="4" w:space="0" w:color="auto"/>
            </w:tcBorders>
          </w:tcPr>
          <w:p w:rsidR="000547E0" w:rsidRPr="00EB1C5D" w:rsidRDefault="000547E0">
            <w:pPr>
              <w:jc w:val="center"/>
              <w:rPr>
                <w:b/>
                <w:bCs/>
              </w:rPr>
            </w:pPr>
            <w:r w:rsidRPr="00EB1C5D">
              <w:rPr>
                <w:b/>
                <w:bCs/>
              </w:rPr>
              <w:t>6</w:t>
            </w:r>
          </w:p>
        </w:tc>
      </w:tr>
    </w:tbl>
    <w:p w:rsidR="000547E0" w:rsidRPr="00EB1C5D" w:rsidRDefault="000547E0" w:rsidP="005D64EC">
      <w:pPr>
        <w:pStyle w:val="ListParagraph"/>
      </w:pPr>
    </w:p>
    <w:p w:rsidR="000547E0" w:rsidRPr="00AA7EB2" w:rsidRDefault="000547E0" w:rsidP="005D64EC">
      <w:pPr>
        <w:pStyle w:val="BodyTextIndent"/>
        <w:numPr>
          <w:ilvl w:val="1"/>
          <w:numId w:val="4"/>
        </w:numPr>
        <w:tabs>
          <w:tab w:val="clear" w:pos="2160"/>
          <w:tab w:val="left" w:pos="360"/>
        </w:tabs>
        <w:ind w:left="360" w:hanging="720"/>
        <w:rPr>
          <w:b/>
          <w:sz w:val="24"/>
        </w:rPr>
      </w:pPr>
      <w:r w:rsidRPr="00EB1C5D">
        <w:rPr>
          <w:sz w:val="24"/>
        </w:rPr>
        <w:t>In FY 2010, due</w:t>
      </w:r>
      <w:r w:rsidRPr="00AA7EB2">
        <w:rPr>
          <w:sz w:val="24"/>
        </w:rPr>
        <w:t xml:space="preserve"> to budget cuts, the Youth Tobacco Use Diversion Program (YTUDP) was not funded but continued as an in-kind program of the Neighborhood Youth Panel.  A Pre-Quit program was provided </w:t>
      </w:r>
      <w:r>
        <w:rPr>
          <w:sz w:val="24"/>
        </w:rPr>
        <w:t>for six</w:t>
      </w:r>
      <w:r w:rsidRPr="00AB6961">
        <w:rPr>
          <w:sz w:val="24"/>
        </w:rPr>
        <w:t xml:space="preserve"> youth</w:t>
      </w:r>
      <w:r w:rsidRPr="00AA7EB2">
        <w:rPr>
          <w:sz w:val="24"/>
        </w:rPr>
        <w:t xml:space="preserve"> tobacco offender referred from the program.</w:t>
      </w:r>
    </w:p>
    <w:sectPr w:rsidR="000547E0" w:rsidRPr="00AA7EB2" w:rsidSect="00086EC9">
      <w:footerReference w:type="even" r:id="rId7"/>
      <w:footerReference w:type="default" r:id="rId8"/>
      <w:pgSz w:w="12240" w:h="15840" w:code="1"/>
      <w:pgMar w:top="720" w:right="1152" w:bottom="1152" w:left="115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E0A" w:rsidRDefault="009F2E0A" w:rsidP="00480206">
      <w:r>
        <w:separator/>
      </w:r>
    </w:p>
  </w:endnote>
  <w:endnote w:type="continuationSeparator" w:id="0">
    <w:p w:rsidR="009F2E0A" w:rsidRDefault="009F2E0A" w:rsidP="004802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E0" w:rsidRDefault="001B48FD" w:rsidP="0022145F">
    <w:pPr>
      <w:pStyle w:val="Footer"/>
      <w:framePr w:wrap="around" w:vAnchor="text" w:hAnchor="margin" w:xAlign="right" w:y="1"/>
      <w:rPr>
        <w:rStyle w:val="PageNumber"/>
      </w:rPr>
    </w:pPr>
    <w:r>
      <w:rPr>
        <w:rStyle w:val="PageNumber"/>
      </w:rPr>
      <w:fldChar w:fldCharType="begin"/>
    </w:r>
    <w:r w:rsidR="000547E0">
      <w:rPr>
        <w:rStyle w:val="PageNumber"/>
      </w:rPr>
      <w:instrText xml:space="preserve">PAGE  </w:instrText>
    </w:r>
    <w:r>
      <w:rPr>
        <w:rStyle w:val="PageNumber"/>
      </w:rPr>
      <w:fldChar w:fldCharType="end"/>
    </w:r>
  </w:p>
  <w:p w:rsidR="000547E0" w:rsidRDefault="000547E0" w:rsidP="00E631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E0" w:rsidRDefault="001B48FD" w:rsidP="0022145F">
    <w:pPr>
      <w:pStyle w:val="Footer"/>
      <w:framePr w:wrap="around" w:vAnchor="text" w:hAnchor="margin" w:xAlign="right" w:y="1"/>
      <w:rPr>
        <w:rStyle w:val="PageNumber"/>
      </w:rPr>
    </w:pPr>
    <w:r>
      <w:rPr>
        <w:rStyle w:val="PageNumber"/>
      </w:rPr>
      <w:fldChar w:fldCharType="begin"/>
    </w:r>
    <w:r w:rsidR="000547E0">
      <w:rPr>
        <w:rStyle w:val="PageNumber"/>
      </w:rPr>
      <w:instrText xml:space="preserve">PAGE  </w:instrText>
    </w:r>
    <w:r>
      <w:rPr>
        <w:rStyle w:val="PageNumber"/>
      </w:rPr>
      <w:fldChar w:fldCharType="separate"/>
    </w:r>
    <w:r w:rsidR="00A52B7B">
      <w:rPr>
        <w:rStyle w:val="PageNumber"/>
        <w:noProof/>
      </w:rPr>
      <w:t>2</w:t>
    </w:r>
    <w:r>
      <w:rPr>
        <w:rStyle w:val="PageNumber"/>
      </w:rPr>
      <w:fldChar w:fldCharType="end"/>
    </w:r>
  </w:p>
  <w:p w:rsidR="000547E0" w:rsidRDefault="000547E0" w:rsidP="00E631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E0A" w:rsidRDefault="009F2E0A" w:rsidP="00480206">
      <w:r>
        <w:separator/>
      </w:r>
    </w:p>
  </w:footnote>
  <w:footnote w:type="continuationSeparator" w:id="0">
    <w:p w:rsidR="009F2E0A" w:rsidRDefault="009F2E0A" w:rsidP="00480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406B6"/>
    <w:multiLevelType w:val="hybridMultilevel"/>
    <w:tmpl w:val="3098C298"/>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670B6B"/>
    <w:multiLevelType w:val="hybridMultilevel"/>
    <w:tmpl w:val="1D942B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2">
    <w:nsid w:val="62C85113"/>
    <w:multiLevelType w:val="hybridMultilevel"/>
    <w:tmpl w:val="596E2C6A"/>
    <w:lvl w:ilvl="0" w:tplc="04090001">
      <w:start w:val="1"/>
      <w:numFmt w:val="bullet"/>
      <w:lvlText w:val=""/>
      <w:lvlJc w:val="left"/>
      <w:pPr>
        <w:tabs>
          <w:tab w:val="num" w:pos="1440"/>
        </w:tabs>
        <w:ind w:left="1440" w:hanging="360"/>
      </w:pPr>
      <w:rPr>
        <w:rFonts w:ascii="Symbol" w:hAnsi="Symbol" w:hint="default"/>
      </w:rPr>
    </w:lvl>
    <w:lvl w:ilvl="1" w:tplc="5B94CC0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E464373"/>
    <w:multiLevelType w:val="hybridMultilevel"/>
    <w:tmpl w:val="934EC0C4"/>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4">
    <w:nsid w:val="71157B19"/>
    <w:multiLevelType w:val="hybridMultilevel"/>
    <w:tmpl w:val="B6268102"/>
    <w:lvl w:ilvl="0" w:tplc="5B94CC0E">
      <w:start w:val="1"/>
      <w:numFmt w:val="bullet"/>
      <w:lvlText w:val=""/>
      <w:lvlJc w:val="left"/>
      <w:pPr>
        <w:tabs>
          <w:tab w:val="num" w:pos="900"/>
        </w:tabs>
        <w:ind w:left="900" w:hanging="360"/>
      </w:pPr>
      <w:rPr>
        <w:rFonts w:ascii="Symbol" w:hAnsi="Symbol" w:hint="default"/>
      </w:rPr>
    </w:lvl>
    <w:lvl w:ilvl="1" w:tplc="5B94CC0E">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41B"/>
    <w:rsid w:val="000547E0"/>
    <w:rsid w:val="00086EC9"/>
    <w:rsid w:val="001554B5"/>
    <w:rsid w:val="001B48FD"/>
    <w:rsid w:val="001C4FB4"/>
    <w:rsid w:val="0022145F"/>
    <w:rsid w:val="002734C5"/>
    <w:rsid w:val="0030351D"/>
    <w:rsid w:val="00316D09"/>
    <w:rsid w:val="003F03F7"/>
    <w:rsid w:val="0042192A"/>
    <w:rsid w:val="00426766"/>
    <w:rsid w:val="00440EC6"/>
    <w:rsid w:val="004423ED"/>
    <w:rsid w:val="00453ED4"/>
    <w:rsid w:val="00480206"/>
    <w:rsid w:val="00577C16"/>
    <w:rsid w:val="005D3D4C"/>
    <w:rsid w:val="005D64EC"/>
    <w:rsid w:val="005E62D7"/>
    <w:rsid w:val="005F185C"/>
    <w:rsid w:val="005F341B"/>
    <w:rsid w:val="006D60EA"/>
    <w:rsid w:val="007700A6"/>
    <w:rsid w:val="007902C5"/>
    <w:rsid w:val="00827A01"/>
    <w:rsid w:val="00941AA2"/>
    <w:rsid w:val="00961D73"/>
    <w:rsid w:val="009C4B09"/>
    <w:rsid w:val="009D221B"/>
    <w:rsid w:val="009F2E0A"/>
    <w:rsid w:val="00A52B7B"/>
    <w:rsid w:val="00A94133"/>
    <w:rsid w:val="00AA7EB2"/>
    <w:rsid w:val="00AB6961"/>
    <w:rsid w:val="00AD7159"/>
    <w:rsid w:val="00AE02C3"/>
    <w:rsid w:val="00B76EBE"/>
    <w:rsid w:val="00C13133"/>
    <w:rsid w:val="00C709A9"/>
    <w:rsid w:val="00C73745"/>
    <w:rsid w:val="00C74621"/>
    <w:rsid w:val="00D018AA"/>
    <w:rsid w:val="00D066C2"/>
    <w:rsid w:val="00E24582"/>
    <w:rsid w:val="00E50DD7"/>
    <w:rsid w:val="00E631F5"/>
    <w:rsid w:val="00EB1C5D"/>
    <w:rsid w:val="00EB5C47"/>
    <w:rsid w:val="00F33210"/>
    <w:rsid w:val="00FA31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1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341B"/>
    <w:pPr>
      <w:tabs>
        <w:tab w:val="center" w:pos="4320"/>
        <w:tab w:val="right" w:pos="8640"/>
      </w:tabs>
    </w:pPr>
  </w:style>
  <w:style w:type="character" w:customStyle="1" w:styleId="FooterChar">
    <w:name w:val="Footer Char"/>
    <w:basedOn w:val="DefaultParagraphFont"/>
    <w:link w:val="Footer"/>
    <w:uiPriority w:val="99"/>
    <w:locked/>
    <w:rsid w:val="005F341B"/>
    <w:rPr>
      <w:rFonts w:eastAsia="Times New Roman" w:cs="Times New Roman"/>
    </w:rPr>
  </w:style>
  <w:style w:type="paragraph" w:styleId="Title">
    <w:name w:val="Title"/>
    <w:basedOn w:val="Normal"/>
    <w:link w:val="TitleChar"/>
    <w:uiPriority w:val="99"/>
    <w:qFormat/>
    <w:rsid w:val="005F341B"/>
    <w:pPr>
      <w:jc w:val="center"/>
    </w:pPr>
    <w:rPr>
      <w:rFonts w:ascii="Arial Rounded MT Bold" w:hAnsi="Arial Rounded MT Bold"/>
      <w:b/>
      <w:bCs/>
      <w:sz w:val="28"/>
    </w:rPr>
  </w:style>
  <w:style w:type="character" w:customStyle="1" w:styleId="TitleChar">
    <w:name w:val="Title Char"/>
    <w:basedOn w:val="DefaultParagraphFont"/>
    <w:link w:val="Title"/>
    <w:uiPriority w:val="99"/>
    <w:locked/>
    <w:rsid w:val="005F341B"/>
    <w:rPr>
      <w:rFonts w:ascii="Arial Rounded MT Bold" w:hAnsi="Arial Rounded MT Bold" w:cs="Times New Roman"/>
      <w:b/>
      <w:bCs/>
      <w:sz w:val="28"/>
    </w:rPr>
  </w:style>
  <w:style w:type="paragraph" w:styleId="BodyText">
    <w:name w:val="Body Text"/>
    <w:basedOn w:val="Normal"/>
    <w:link w:val="BodyTextChar"/>
    <w:uiPriority w:val="99"/>
    <w:rsid w:val="005F341B"/>
    <w:rPr>
      <w:b/>
      <w:bCs/>
    </w:rPr>
  </w:style>
  <w:style w:type="character" w:customStyle="1" w:styleId="BodyTextChar">
    <w:name w:val="Body Text Char"/>
    <w:basedOn w:val="DefaultParagraphFont"/>
    <w:link w:val="BodyText"/>
    <w:uiPriority w:val="99"/>
    <w:locked/>
    <w:rsid w:val="005F341B"/>
    <w:rPr>
      <w:rFonts w:eastAsia="Times New Roman" w:cs="Times New Roman"/>
      <w:b/>
      <w:bCs/>
    </w:rPr>
  </w:style>
  <w:style w:type="paragraph" w:styleId="BodyTextIndent">
    <w:name w:val="Body Text Indent"/>
    <w:basedOn w:val="Normal"/>
    <w:link w:val="BodyTextIndentChar"/>
    <w:uiPriority w:val="99"/>
    <w:rsid w:val="005F341B"/>
    <w:pPr>
      <w:ind w:left="720"/>
    </w:pPr>
    <w:rPr>
      <w:sz w:val="20"/>
    </w:rPr>
  </w:style>
  <w:style w:type="character" w:customStyle="1" w:styleId="BodyTextIndentChar">
    <w:name w:val="Body Text Indent Char"/>
    <w:basedOn w:val="DefaultParagraphFont"/>
    <w:link w:val="BodyTextIndent"/>
    <w:uiPriority w:val="99"/>
    <w:locked/>
    <w:rsid w:val="005F341B"/>
    <w:rPr>
      <w:rFonts w:eastAsia="Times New Roman" w:cs="Times New Roman"/>
      <w:sz w:val="20"/>
    </w:rPr>
  </w:style>
  <w:style w:type="character" w:styleId="PageNumber">
    <w:name w:val="page number"/>
    <w:basedOn w:val="DefaultParagraphFont"/>
    <w:uiPriority w:val="99"/>
    <w:rsid w:val="005F341B"/>
    <w:rPr>
      <w:rFonts w:cs="Times New Roman"/>
    </w:rPr>
  </w:style>
  <w:style w:type="paragraph" w:styleId="ListParagraph">
    <w:name w:val="List Paragraph"/>
    <w:basedOn w:val="Normal"/>
    <w:uiPriority w:val="99"/>
    <w:qFormat/>
    <w:rsid w:val="005D64EC"/>
    <w:pPr>
      <w:ind w:left="720"/>
    </w:pPr>
  </w:style>
</w:styles>
</file>

<file path=word/webSettings.xml><?xml version="1.0" encoding="utf-8"?>
<w:webSettings xmlns:r="http://schemas.openxmlformats.org/officeDocument/2006/relationships" xmlns:w="http://schemas.openxmlformats.org/wordprocessingml/2006/main">
  <w:divs>
    <w:div w:id="1081365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Task Force Report</dc:title>
  <dc:subject/>
  <dc:creator>jpadgett</dc:creator>
  <cp:keywords/>
  <dc:description/>
  <cp:lastModifiedBy>treid</cp:lastModifiedBy>
  <cp:revision>2</cp:revision>
  <cp:lastPrinted>2010-07-12T19:25:00Z</cp:lastPrinted>
  <dcterms:created xsi:type="dcterms:W3CDTF">2010-07-12T19:28:00Z</dcterms:created>
  <dcterms:modified xsi:type="dcterms:W3CDTF">2010-07-12T19:28:00Z</dcterms:modified>
</cp:coreProperties>
</file>