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C98B0" w14:textId="77777777" w:rsidR="00162945" w:rsidRPr="00162945" w:rsidRDefault="00162945" w:rsidP="00162945">
      <w:pPr>
        <w:jc w:val="center"/>
        <w:rPr>
          <w:b/>
          <w:bCs/>
          <w:sz w:val="28"/>
          <w:szCs w:val="28"/>
        </w:rPr>
      </w:pPr>
      <w:r w:rsidRPr="00162945">
        <w:rPr>
          <w:b/>
          <w:bCs/>
          <w:sz w:val="28"/>
          <w:szCs w:val="28"/>
        </w:rPr>
        <w:t>QUEEN ANNE’S COUNTY</w:t>
      </w:r>
    </w:p>
    <w:p w14:paraId="35E36A0D" w14:textId="77777777" w:rsidR="00162945" w:rsidRPr="00162945" w:rsidRDefault="00162945" w:rsidP="00162945">
      <w:pPr>
        <w:jc w:val="center"/>
        <w:rPr>
          <w:b/>
          <w:bCs/>
          <w:sz w:val="28"/>
          <w:szCs w:val="28"/>
        </w:rPr>
      </w:pPr>
      <w:r w:rsidRPr="00162945">
        <w:rPr>
          <w:b/>
          <w:bCs/>
          <w:sz w:val="28"/>
          <w:szCs w:val="28"/>
        </w:rPr>
        <w:t>COMMUNITY REINVESTMENT AND REPAIR FUND</w:t>
      </w:r>
    </w:p>
    <w:p w14:paraId="07B52182" w14:textId="77777777" w:rsidR="00162945" w:rsidRDefault="00162945" w:rsidP="00162945">
      <w:pPr>
        <w:jc w:val="center"/>
        <w:rPr>
          <w:b/>
          <w:bCs/>
          <w:sz w:val="40"/>
          <w:szCs w:val="40"/>
        </w:rPr>
      </w:pPr>
      <w:r w:rsidRPr="00162945">
        <w:rPr>
          <w:b/>
          <w:bCs/>
          <w:sz w:val="40"/>
          <w:szCs w:val="40"/>
        </w:rPr>
        <w:t>DISTRIBTUTION PLAN</w:t>
      </w:r>
    </w:p>
    <w:p w14:paraId="4FE70184" w14:textId="77777777" w:rsidR="00162945" w:rsidRDefault="00162945" w:rsidP="00162945">
      <w:pPr>
        <w:jc w:val="center"/>
        <w:rPr>
          <w:b/>
          <w:bCs/>
          <w:sz w:val="28"/>
          <w:szCs w:val="28"/>
        </w:rPr>
      </w:pPr>
      <w:r>
        <w:rPr>
          <w:b/>
          <w:bCs/>
          <w:sz w:val="28"/>
          <w:szCs w:val="28"/>
        </w:rPr>
        <w:t>DRAFT FOR PUBLIC REVIEW</w:t>
      </w:r>
    </w:p>
    <w:p w14:paraId="370B6EC8" w14:textId="77777777" w:rsidR="00162945" w:rsidRDefault="00162945" w:rsidP="00162945">
      <w:pPr>
        <w:jc w:val="center"/>
        <w:rPr>
          <w:b/>
          <w:bCs/>
          <w:sz w:val="24"/>
          <w:szCs w:val="24"/>
        </w:rPr>
      </w:pPr>
      <w:r>
        <w:rPr>
          <w:sz w:val="24"/>
          <w:szCs w:val="24"/>
        </w:rPr>
        <w:t xml:space="preserve">Prepared by the </w:t>
      </w:r>
      <w:r>
        <w:rPr>
          <w:b/>
          <w:bCs/>
          <w:sz w:val="24"/>
          <w:szCs w:val="24"/>
        </w:rPr>
        <w:t>Queen Anne’s County Community Reinvestment and Repair Commission</w:t>
      </w:r>
    </w:p>
    <w:p w14:paraId="42F881F6" w14:textId="77777777" w:rsidR="00C304AA" w:rsidRDefault="00162945" w:rsidP="00162945">
      <w:pPr>
        <w:tabs>
          <w:tab w:val="left" w:pos="540"/>
          <w:tab w:val="center" w:pos="4680"/>
        </w:tabs>
        <w:jc w:val="center"/>
        <w:rPr>
          <w:b/>
          <w:bCs/>
          <w:sz w:val="24"/>
          <w:szCs w:val="24"/>
        </w:rPr>
      </w:pPr>
      <w:r>
        <w:rPr>
          <w:b/>
          <w:bCs/>
          <w:sz w:val="24"/>
          <w:szCs w:val="24"/>
        </w:rPr>
        <w:t>August 2026</w:t>
      </w:r>
    </w:p>
    <w:p w14:paraId="6AE24D77" w14:textId="64987A6C" w:rsidR="00162945" w:rsidRPr="00162945" w:rsidRDefault="00C304AA" w:rsidP="00162945">
      <w:pPr>
        <w:tabs>
          <w:tab w:val="left" w:pos="540"/>
          <w:tab w:val="center" w:pos="4680"/>
        </w:tabs>
        <w:jc w:val="center"/>
        <w:rPr>
          <w:sz w:val="32"/>
          <w:szCs w:val="32"/>
        </w:rPr>
      </w:pPr>
      <w:r>
        <w:rPr>
          <w:i/>
          <w:iCs/>
          <w:sz w:val="24"/>
          <w:szCs w:val="24"/>
        </w:rPr>
        <w:t xml:space="preserve">This draft is available for public review and comment and has not received final approval. </w:t>
      </w:r>
      <w:r w:rsidR="00162945" w:rsidRPr="00162945">
        <w:rPr>
          <w:sz w:val="40"/>
          <w:szCs w:val="40"/>
        </w:rPr>
        <w:br w:type="page"/>
      </w:r>
    </w:p>
    <w:p w14:paraId="3C1EC5B1" w14:textId="73C2C1A9" w:rsidR="00EF7CBC" w:rsidRPr="00162945" w:rsidRDefault="00EF7CBC" w:rsidP="00162945">
      <w:pPr>
        <w:pStyle w:val="Heading1"/>
        <w:rPr>
          <w:b/>
          <w:bCs/>
          <w:sz w:val="32"/>
          <w:szCs w:val="32"/>
        </w:rPr>
      </w:pPr>
      <w:r w:rsidRPr="00162945">
        <w:rPr>
          <w:sz w:val="32"/>
          <w:szCs w:val="32"/>
        </w:rPr>
        <w:lastRenderedPageBreak/>
        <w:t xml:space="preserve">Regulatory Background </w:t>
      </w:r>
    </w:p>
    <w:p w14:paraId="18C4B3A8" w14:textId="454DA949" w:rsidR="00212BFA" w:rsidRDefault="00212BFA" w:rsidP="00212BFA">
      <w:pPr>
        <w:pStyle w:val="Heading2"/>
        <w:rPr>
          <w:sz w:val="26"/>
          <w:szCs w:val="26"/>
        </w:rPr>
      </w:pPr>
      <w:r>
        <w:rPr>
          <w:sz w:val="26"/>
          <w:szCs w:val="26"/>
        </w:rPr>
        <w:t>Purpose</w:t>
      </w:r>
      <w:r w:rsidR="00127D5F">
        <w:rPr>
          <w:sz w:val="26"/>
          <w:szCs w:val="26"/>
        </w:rPr>
        <w:t xml:space="preserve"> of the Community Reinvestment and Repair Fund</w:t>
      </w:r>
    </w:p>
    <w:p w14:paraId="3739441D" w14:textId="70877236" w:rsidR="009B7750" w:rsidRPr="004A7A42" w:rsidRDefault="009B7750" w:rsidP="00127D5F">
      <w:pPr>
        <w:rPr>
          <w:sz w:val="24"/>
          <w:szCs w:val="24"/>
        </w:rPr>
      </w:pPr>
      <w:r w:rsidRPr="004A7A42">
        <w:rPr>
          <w:sz w:val="24"/>
          <w:szCs w:val="24"/>
        </w:rPr>
        <w:t>The Maryland Cannabis Reform Act, enacted May 3, 2023, established the legal and regulatory framework for adult-use cannabis sales starting July 1 of that year.</w:t>
      </w:r>
      <w:r w:rsidR="00005A00" w:rsidRPr="004A7A42">
        <w:rPr>
          <w:sz w:val="24"/>
          <w:szCs w:val="24"/>
        </w:rPr>
        <w:t xml:space="preserve"> To reinvest a portion of the State’s cannabis tax revenue into communities, the Act created the Community Reinvestment and Repair Fund (CRRF) to be overseen by a Community Reinvestment and Repair Commission (CRRC) established in each county. Through community-based initiatives, the CRRC seeks to improve economic development, education, housing, public health, and other programs that strengthen communities.</w:t>
      </w:r>
    </w:p>
    <w:p w14:paraId="39F4FA44" w14:textId="172BBD1B" w:rsidR="009811D3" w:rsidRPr="004A7A42" w:rsidRDefault="009811D3" w:rsidP="00127D5F">
      <w:pPr>
        <w:rPr>
          <w:sz w:val="24"/>
          <w:szCs w:val="24"/>
        </w:rPr>
      </w:pPr>
      <w:r w:rsidRPr="004A7A42">
        <w:rPr>
          <w:sz w:val="24"/>
          <w:szCs w:val="24"/>
        </w:rPr>
        <w:t>On June 30, 2026, COMAR 14.17.23</w:t>
      </w:r>
      <w:r w:rsidR="0090018D" w:rsidRPr="004A7A42">
        <w:rPr>
          <w:sz w:val="24"/>
          <w:szCs w:val="24"/>
        </w:rPr>
        <w:t xml:space="preserve"> became effective,</w:t>
      </w:r>
      <w:r w:rsidR="006D75F3" w:rsidRPr="004A7A42">
        <w:rPr>
          <w:sz w:val="24"/>
          <w:szCs w:val="24"/>
        </w:rPr>
        <w:t xml:space="preserve"> establish</w:t>
      </w:r>
      <w:r w:rsidR="0090018D" w:rsidRPr="004A7A42">
        <w:rPr>
          <w:sz w:val="24"/>
          <w:szCs w:val="24"/>
        </w:rPr>
        <w:t>ing</w:t>
      </w:r>
      <w:r w:rsidR="006D75F3" w:rsidRPr="004A7A42">
        <w:rPr>
          <w:sz w:val="24"/>
          <w:szCs w:val="24"/>
        </w:rPr>
        <w:t xml:space="preserve"> requirements for CRRCs. These requirements include the development of a CRRF Distribution Plan, and the process counties must use to engage residents, establish funding priorities, and distribute funding. </w:t>
      </w:r>
    </w:p>
    <w:p w14:paraId="5A300FDA" w14:textId="47FACAB9" w:rsidR="00E16C8E" w:rsidRDefault="00E16C8E" w:rsidP="00E16C8E">
      <w:pPr>
        <w:pStyle w:val="Heading2"/>
        <w:rPr>
          <w:sz w:val="26"/>
          <w:szCs w:val="26"/>
        </w:rPr>
      </w:pPr>
      <w:r>
        <w:rPr>
          <w:sz w:val="26"/>
          <w:szCs w:val="26"/>
        </w:rPr>
        <w:t>Distribution Plan Requirements</w:t>
      </w:r>
    </w:p>
    <w:p w14:paraId="62ADDC3E" w14:textId="0A407E8C" w:rsidR="00E16C8E" w:rsidRPr="004A7A42" w:rsidRDefault="0090018D" w:rsidP="00E16C8E">
      <w:pPr>
        <w:rPr>
          <w:sz w:val="24"/>
          <w:szCs w:val="24"/>
        </w:rPr>
      </w:pPr>
      <w:r w:rsidRPr="004A7A42">
        <w:rPr>
          <w:sz w:val="24"/>
          <w:szCs w:val="24"/>
        </w:rPr>
        <w:t>COMAR</w:t>
      </w:r>
      <w:r w:rsidR="00E16C8E" w:rsidRPr="004A7A42">
        <w:rPr>
          <w:sz w:val="24"/>
          <w:szCs w:val="24"/>
        </w:rPr>
        <w:t xml:space="preserve"> 14.17.23 </w:t>
      </w:r>
      <w:r w:rsidRPr="004A7A42">
        <w:rPr>
          <w:sz w:val="24"/>
          <w:szCs w:val="24"/>
        </w:rPr>
        <w:t>requires each county administering CRRF funds to develop and maintain a Distribution Plan that:</w:t>
      </w:r>
    </w:p>
    <w:p w14:paraId="710E9954" w14:textId="6FCBF98A" w:rsidR="00E16C8E" w:rsidRPr="004A7A42" w:rsidRDefault="00E16C8E" w:rsidP="00E16C8E">
      <w:pPr>
        <w:pStyle w:val="ListParagraph"/>
        <w:numPr>
          <w:ilvl w:val="0"/>
          <w:numId w:val="2"/>
        </w:numPr>
        <w:rPr>
          <w:sz w:val="24"/>
          <w:szCs w:val="24"/>
        </w:rPr>
      </w:pPr>
      <w:r w:rsidRPr="004A7A42">
        <w:rPr>
          <w:sz w:val="24"/>
          <w:szCs w:val="24"/>
        </w:rPr>
        <w:t>Identifies and ranks community needs using assessment data</w:t>
      </w:r>
    </w:p>
    <w:p w14:paraId="17CCD288" w14:textId="5E877CCC" w:rsidR="00E16C8E" w:rsidRPr="004A7A42" w:rsidRDefault="00E16C8E" w:rsidP="00E16C8E">
      <w:pPr>
        <w:pStyle w:val="ListParagraph"/>
        <w:numPr>
          <w:ilvl w:val="0"/>
          <w:numId w:val="2"/>
        </w:numPr>
        <w:rPr>
          <w:sz w:val="24"/>
          <w:szCs w:val="24"/>
        </w:rPr>
      </w:pPr>
      <w:r w:rsidRPr="004A7A42">
        <w:rPr>
          <w:sz w:val="24"/>
          <w:szCs w:val="24"/>
        </w:rPr>
        <w:t>Reflects community input in establishing funding priorities</w:t>
      </w:r>
    </w:p>
    <w:p w14:paraId="2FF6293E" w14:textId="5074D541" w:rsidR="00E16C8E" w:rsidRPr="004A7A42" w:rsidRDefault="00E16C8E" w:rsidP="00E16C8E">
      <w:pPr>
        <w:pStyle w:val="ListParagraph"/>
        <w:numPr>
          <w:ilvl w:val="0"/>
          <w:numId w:val="2"/>
        </w:numPr>
        <w:rPr>
          <w:sz w:val="24"/>
          <w:szCs w:val="24"/>
        </w:rPr>
      </w:pPr>
      <w:r w:rsidRPr="004A7A42">
        <w:rPr>
          <w:sz w:val="24"/>
          <w:szCs w:val="24"/>
        </w:rPr>
        <w:t>Describes outreach efforts to eligible communities</w:t>
      </w:r>
    </w:p>
    <w:p w14:paraId="24FE48B6" w14:textId="6A59FFD6" w:rsidR="00E16C8E" w:rsidRPr="004A7A42" w:rsidRDefault="00E16C8E" w:rsidP="00E16C8E">
      <w:pPr>
        <w:pStyle w:val="ListParagraph"/>
        <w:numPr>
          <w:ilvl w:val="0"/>
          <w:numId w:val="2"/>
        </w:numPr>
        <w:rPr>
          <w:sz w:val="24"/>
          <w:szCs w:val="24"/>
        </w:rPr>
      </w:pPr>
      <w:r w:rsidRPr="004A7A42">
        <w:rPr>
          <w:sz w:val="24"/>
          <w:szCs w:val="24"/>
        </w:rPr>
        <w:t>Establishes funding priorities and a distribution strategy</w:t>
      </w:r>
    </w:p>
    <w:p w14:paraId="5E0B1932" w14:textId="75B924AC" w:rsidR="00E16C8E" w:rsidRPr="004A7A42" w:rsidRDefault="00E16C8E" w:rsidP="00E16C8E">
      <w:pPr>
        <w:pStyle w:val="ListParagraph"/>
        <w:numPr>
          <w:ilvl w:val="0"/>
          <w:numId w:val="2"/>
        </w:numPr>
        <w:rPr>
          <w:sz w:val="24"/>
          <w:szCs w:val="24"/>
        </w:rPr>
      </w:pPr>
      <w:r w:rsidRPr="004A7A42">
        <w:rPr>
          <w:sz w:val="24"/>
          <w:szCs w:val="24"/>
        </w:rPr>
        <w:t>Provides a process for periodic review and updates.</w:t>
      </w:r>
    </w:p>
    <w:p w14:paraId="32A0EE8C" w14:textId="61224F55" w:rsidR="00E16C8E" w:rsidRPr="004A7A42" w:rsidRDefault="00E16C8E" w:rsidP="00E16C8E">
      <w:pPr>
        <w:rPr>
          <w:sz w:val="24"/>
          <w:szCs w:val="24"/>
        </w:rPr>
      </w:pPr>
      <w:r w:rsidRPr="004A7A42">
        <w:rPr>
          <w:sz w:val="24"/>
          <w:szCs w:val="24"/>
        </w:rPr>
        <w:t xml:space="preserve">The Distribution Plan serves as the County’s public framework for guiding CRRF investments and promoting transparency and accountability in funding decisions. </w:t>
      </w:r>
    </w:p>
    <w:p w14:paraId="4CF19BDD" w14:textId="19ED2247" w:rsidR="00E16C8E" w:rsidRDefault="00E16C8E" w:rsidP="00E16C8E">
      <w:pPr>
        <w:pStyle w:val="Heading2"/>
        <w:rPr>
          <w:sz w:val="26"/>
          <w:szCs w:val="26"/>
        </w:rPr>
      </w:pPr>
      <w:r>
        <w:rPr>
          <w:sz w:val="26"/>
          <w:szCs w:val="26"/>
        </w:rPr>
        <w:t>Queen Anne’s County Approach</w:t>
      </w:r>
    </w:p>
    <w:p w14:paraId="64708900" w14:textId="70185C3B" w:rsidR="00212BFA" w:rsidRPr="004A7A42" w:rsidRDefault="00170722" w:rsidP="00212BFA">
      <w:pPr>
        <w:rPr>
          <w:sz w:val="24"/>
          <w:szCs w:val="24"/>
        </w:rPr>
      </w:pPr>
      <w:r w:rsidRPr="004A7A42">
        <w:rPr>
          <w:sz w:val="24"/>
          <w:szCs w:val="24"/>
        </w:rPr>
        <w:t xml:space="preserve">Queen Anne’s County designated the Local Management Board (LMB) to administer the CRRF and provide administrative support to the CRRC. As the County’s collaborative planning body, the LMB provides an established governance structure that supports coordinated planning and investment across public agencies, community organizations, and residents. This Distribution Plan reflects this collaborative approach by incorporating local data, community engagement, and cross-sector partnerships to guide CRRF funding priorities and investment decisions. </w:t>
      </w:r>
    </w:p>
    <w:p w14:paraId="657F6891" w14:textId="77777777" w:rsidR="001E69E9" w:rsidRPr="001E69E9" w:rsidRDefault="001E69E9" w:rsidP="001E69E9">
      <w:pPr>
        <w:pStyle w:val="Heading2"/>
        <w:rPr>
          <w:sz w:val="26"/>
          <w:szCs w:val="26"/>
        </w:rPr>
      </w:pPr>
      <w:r w:rsidRPr="001E69E9">
        <w:rPr>
          <w:sz w:val="26"/>
          <w:szCs w:val="26"/>
        </w:rPr>
        <w:t>References</w:t>
      </w:r>
    </w:p>
    <w:p w14:paraId="63DB5CAA" w14:textId="77777777" w:rsidR="001E69E9" w:rsidRPr="004A7A42" w:rsidRDefault="001E69E9" w:rsidP="001E69E9">
      <w:pPr>
        <w:pStyle w:val="ListParagraph"/>
        <w:numPr>
          <w:ilvl w:val="0"/>
          <w:numId w:val="3"/>
        </w:numPr>
        <w:rPr>
          <w:sz w:val="24"/>
          <w:szCs w:val="24"/>
        </w:rPr>
      </w:pPr>
      <w:r w:rsidRPr="004A7A42">
        <w:rPr>
          <w:sz w:val="24"/>
          <w:szCs w:val="24"/>
        </w:rPr>
        <w:t>Maryland Cannabis Reform Act</w:t>
      </w:r>
    </w:p>
    <w:p w14:paraId="717EC55D" w14:textId="77777777" w:rsidR="001E69E9" w:rsidRPr="004A7A42" w:rsidRDefault="001E69E9" w:rsidP="001E69E9">
      <w:pPr>
        <w:pStyle w:val="ListParagraph"/>
        <w:numPr>
          <w:ilvl w:val="0"/>
          <w:numId w:val="3"/>
        </w:numPr>
        <w:rPr>
          <w:sz w:val="24"/>
          <w:szCs w:val="24"/>
        </w:rPr>
      </w:pPr>
      <w:r w:rsidRPr="004A7A42">
        <w:rPr>
          <w:sz w:val="24"/>
          <w:szCs w:val="24"/>
        </w:rPr>
        <w:lastRenderedPageBreak/>
        <w:t>COMAR 14.17.23 – Community Reinvestment and Repair Fund</w:t>
      </w:r>
    </w:p>
    <w:p w14:paraId="2766784C" w14:textId="77777777" w:rsidR="001E69E9" w:rsidRPr="004A7A42" w:rsidRDefault="001E69E9" w:rsidP="001E69E9">
      <w:pPr>
        <w:pStyle w:val="ListParagraph"/>
        <w:numPr>
          <w:ilvl w:val="0"/>
          <w:numId w:val="3"/>
        </w:numPr>
        <w:rPr>
          <w:sz w:val="24"/>
          <w:szCs w:val="24"/>
        </w:rPr>
      </w:pPr>
      <w:r w:rsidRPr="004A7A42">
        <w:rPr>
          <w:sz w:val="24"/>
          <w:szCs w:val="24"/>
        </w:rPr>
        <w:t>Maryland Alcoholic Beverages and Cannabis Article, Title 36</w:t>
      </w:r>
    </w:p>
    <w:p w14:paraId="2121CAA9" w14:textId="514EA792" w:rsidR="001E69E9" w:rsidRPr="004A7A42" w:rsidRDefault="001E69E9" w:rsidP="001E69E9">
      <w:pPr>
        <w:pStyle w:val="ListParagraph"/>
        <w:numPr>
          <w:ilvl w:val="0"/>
          <w:numId w:val="3"/>
        </w:numPr>
        <w:rPr>
          <w:sz w:val="24"/>
          <w:szCs w:val="24"/>
        </w:rPr>
      </w:pPr>
      <w:r w:rsidRPr="004A7A42">
        <w:rPr>
          <w:sz w:val="24"/>
          <w:szCs w:val="24"/>
        </w:rPr>
        <w:t>U.S Department of Housing and Urban Development, Qualified Census Tracts and Area Median Income Data</w:t>
      </w:r>
    </w:p>
    <w:p w14:paraId="1FDBB5C2" w14:textId="2D4E7374" w:rsidR="001E69E9" w:rsidRPr="004A7A42" w:rsidRDefault="001E69E9" w:rsidP="001E69E9">
      <w:pPr>
        <w:pStyle w:val="ListParagraph"/>
        <w:numPr>
          <w:ilvl w:val="0"/>
          <w:numId w:val="3"/>
        </w:numPr>
        <w:rPr>
          <w:sz w:val="24"/>
          <w:szCs w:val="24"/>
        </w:rPr>
      </w:pPr>
      <w:r w:rsidRPr="004A7A42">
        <w:rPr>
          <w:sz w:val="24"/>
          <w:szCs w:val="24"/>
        </w:rPr>
        <w:t>Maryland Office of Social Equity</w:t>
      </w:r>
    </w:p>
    <w:p w14:paraId="3CC6D4E9" w14:textId="0891038E" w:rsidR="003C4838" w:rsidRDefault="00EF0267" w:rsidP="00EF0267">
      <w:pPr>
        <w:pStyle w:val="Heading1"/>
        <w:rPr>
          <w:sz w:val="32"/>
          <w:szCs w:val="32"/>
        </w:rPr>
      </w:pPr>
      <w:r>
        <w:rPr>
          <w:sz w:val="32"/>
          <w:szCs w:val="32"/>
        </w:rPr>
        <w:t>Community Assessment &amp; Priority Setting</w:t>
      </w:r>
    </w:p>
    <w:p w14:paraId="13E608C7" w14:textId="7AEB7B54" w:rsidR="00C1734F" w:rsidRPr="00C1734F" w:rsidRDefault="00104829" w:rsidP="00C1734F">
      <w:pPr>
        <w:pStyle w:val="Heading2"/>
        <w:rPr>
          <w:sz w:val="26"/>
          <w:szCs w:val="26"/>
        </w:rPr>
      </w:pPr>
      <w:r>
        <w:rPr>
          <w:sz w:val="26"/>
          <w:szCs w:val="26"/>
        </w:rPr>
        <w:t>Community Assessment</w:t>
      </w:r>
    </w:p>
    <w:p w14:paraId="60FA9522" w14:textId="77777777" w:rsidR="005F2722" w:rsidRPr="004A7A42" w:rsidRDefault="00AB4EC6" w:rsidP="00212BFA">
      <w:pPr>
        <w:rPr>
          <w:sz w:val="24"/>
          <w:szCs w:val="24"/>
        </w:rPr>
      </w:pPr>
      <w:r w:rsidRPr="004A7A42">
        <w:rPr>
          <w:sz w:val="24"/>
          <w:szCs w:val="24"/>
        </w:rPr>
        <w:t xml:space="preserve">The Community Reinvestment and Repair Commission (CRRC) </w:t>
      </w:r>
      <w:r w:rsidR="00862F55" w:rsidRPr="004A7A42">
        <w:rPr>
          <w:sz w:val="24"/>
          <w:szCs w:val="24"/>
        </w:rPr>
        <w:t xml:space="preserve">uses an ongoing assessment process that combines quantitative </w:t>
      </w:r>
      <w:r w:rsidR="005F2722" w:rsidRPr="004A7A42">
        <w:rPr>
          <w:sz w:val="24"/>
          <w:szCs w:val="24"/>
        </w:rPr>
        <w:t xml:space="preserve">data with community engagement and partner input to identify and rank community needs. This approach ensures that the funding priorities outlined in this Distribution Plan reflect both measurable community conditions and the lived experiences of those who live and work in eligible communities. </w:t>
      </w:r>
    </w:p>
    <w:p w14:paraId="7E691592" w14:textId="77777777" w:rsidR="005F2722" w:rsidRPr="004A7A42" w:rsidRDefault="005F2722" w:rsidP="00212BFA">
      <w:pPr>
        <w:rPr>
          <w:sz w:val="24"/>
          <w:szCs w:val="24"/>
        </w:rPr>
      </w:pPr>
      <w:r w:rsidRPr="004A7A42">
        <w:rPr>
          <w:sz w:val="24"/>
          <w:szCs w:val="24"/>
        </w:rPr>
        <w:t>Assessment information may include, but is not limited to:</w:t>
      </w:r>
    </w:p>
    <w:p w14:paraId="2382A1A1" w14:textId="426748FC" w:rsidR="001E69E9" w:rsidRPr="004A7A42" w:rsidRDefault="005F2722" w:rsidP="005F2722">
      <w:pPr>
        <w:pStyle w:val="ListParagraph"/>
        <w:numPr>
          <w:ilvl w:val="0"/>
          <w:numId w:val="4"/>
        </w:numPr>
        <w:rPr>
          <w:sz w:val="24"/>
          <w:szCs w:val="24"/>
        </w:rPr>
      </w:pPr>
      <w:r w:rsidRPr="004A7A42">
        <w:rPr>
          <w:sz w:val="24"/>
          <w:szCs w:val="24"/>
        </w:rPr>
        <w:t>U.S. Census Bureau and American Community Survey (ACS)</w:t>
      </w:r>
    </w:p>
    <w:p w14:paraId="0E17C2DC" w14:textId="46357649" w:rsidR="005F2722" w:rsidRPr="004A7A42" w:rsidRDefault="005F2722" w:rsidP="005F2722">
      <w:pPr>
        <w:pStyle w:val="ListParagraph"/>
        <w:numPr>
          <w:ilvl w:val="0"/>
          <w:numId w:val="4"/>
        </w:numPr>
        <w:rPr>
          <w:sz w:val="24"/>
          <w:szCs w:val="24"/>
        </w:rPr>
      </w:pPr>
      <w:r w:rsidRPr="004A7A42">
        <w:rPr>
          <w:sz w:val="24"/>
          <w:szCs w:val="24"/>
        </w:rPr>
        <w:t>Maryland state agency data</w:t>
      </w:r>
    </w:p>
    <w:p w14:paraId="1F1748F9" w14:textId="2503CFB3" w:rsidR="005F2722" w:rsidRPr="004A7A42" w:rsidRDefault="005F2722" w:rsidP="005F2722">
      <w:pPr>
        <w:pStyle w:val="ListParagraph"/>
        <w:numPr>
          <w:ilvl w:val="0"/>
          <w:numId w:val="4"/>
        </w:numPr>
        <w:rPr>
          <w:sz w:val="24"/>
          <w:szCs w:val="24"/>
        </w:rPr>
      </w:pPr>
      <w:r w:rsidRPr="004A7A42">
        <w:rPr>
          <w:sz w:val="24"/>
          <w:szCs w:val="24"/>
        </w:rPr>
        <w:t>Local needs assessments and strategic plans</w:t>
      </w:r>
    </w:p>
    <w:p w14:paraId="2CA83C8E" w14:textId="346FF65B" w:rsidR="005F2722" w:rsidRPr="004A7A42" w:rsidRDefault="005F2722" w:rsidP="005F2722">
      <w:pPr>
        <w:pStyle w:val="ListParagraph"/>
        <w:numPr>
          <w:ilvl w:val="0"/>
          <w:numId w:val="4"/>
        </w:numPr>
        <w:rPr>
          <w:sz w:val="24"/>
          <w:szCs w:val="24"/>
        </w:rPr>
      </w:pPr>
      <w:r w:rsidRPr="004A7A42">
        <w:rPr>
          <w:sz w:val="24"/>
          <w:szCs w:val="24"/>
        </w:rPr>
        <w:t>Community surveys</w:t>
      </w:r>
    </w:p>
    <w:p w14:paraId="3FFEC3C3" w14:textId="05C0B777" w:rsidR="005F2722" w:rsidRPr="004A7A42" w:rsidRDefault="005F2722" w:rsidP="005F2722">
      <w:pPr>
        <w:pStyle w:val="ListParagraph"/>
        <w:numPr>
          <w:ilvl w:val="0"/>
          <w:numId w:val="4"/>
        </w:numPr>
        <w:rPr>
          <w:sz w:val="24"/>
          <w:szCs w:val="24"/>
        </w:rPr>
      </w:pPr>
      <w:r w:rsidRPr="004A7A42">
        <w:rPr>
          <w:sz w:val="24"/>
          <w:szCs w:val="24"/>
        </w:rPr>
        <w:t>Community conversations and public meetings</w:t>
      </w:r>
    </w:p>
    <w:p w14:paraId="4F70043B" w14:textId="03253528" w:rsidR="005F2722" w:rsidRPr="004A7A42" w:rsidRDefault="005F2722" w:rsidP="005F2722">
      <w:pPr>
        <w:pStyle w:val="ListParagraph"/>
        <w:numPr>
          <w:ilvl w:val="0"/>
          <w:numId w:val="4"/>
        </w:numPr>
        <w:rPr>
          <w:sz w:val="24"/>
          <w:szCs w:val="24"/>
        </w:rPr>
      </w:pPr>
      <w:r w:rsidRPr="004A7A42">
        <w:rPr>
          <w:sz w:val="24"/>
          <w:szCs w:val="24"/>
        </w:rPr>
        <w:t>Resident feedback and lived experience</w:t>
      </w:r>
    </w:p>
    <w:p w14:paraId="3205EC20" w14:textId="430CAA52" w:rsidR="005F2722" w:rsidRPr="004A7A42" w:rsidRDefault="005F2722" w:rsidP="005F2722">
      <w:pPr>
        <w:pStyle w:val="ListParagraph"/>
        <w:numPr>
          <w:ilvl w:val="0"/>
          <w:numId w:val="4"/>
        </w:numPr>
        <w:rPr>
          <w:sz w:val="24"/>
          <w:szCs w:val="24"/>
        </w:rPr>
      </w:pPr>
      <w:r w:rsidRPr="004A7A42">
        <w:rPr>
          <w:sz w:val="24"/>
          <w:szCs w:val="24"/>
        </w:rPr>
        <w:t>Input from community organizations, public agencies, businesses, and other community partners</w:t>
      </w:r>
    </w:p>
    <w:p w14:paraId="0439942A" w14:textId="137C3D60" w:rsidR="005F2722" w:rsidRPr="004A7A42" w:rsidRDefault="005F2722" w:rsidP="005F2722">
      <w:pPr>
        <w:pStyle w:val="ListParagraph"/>
        <w:numPr>
          <w:ilvl w:val="0"/>
          <w:numId w:val="4"/>
        </w:numPr>
        <w:rPr>
          <w:sz w:val="24"/>
          <w:szCs w:val="24"/>
        </w:rPr>
      </w:pPr>
      <w:r w:rsidRPr="004A7A42">
        <w:rPr>
          <w:sz w:val="24"/>
          <w:szCs w:val="24"/>
        </w:rPr>
        <w:t>Program outcomes and performance data</w:t>
      </w:r>
    </w:p>
    <w:p w14:paraId="3CC4625B" w14:textId="45C46B19" w:rsidR="004F317B" w:rsidRPr="004A7A42" w:rsidRDefault="004F317B" w:rsidP="004F317B">
      <w:pPr>
        <w:ind w:left="405"/>
        <w:rPr>
          <w:sz w:val="24"/>
          <w:szCs w:val="24"/>
        </w:rPr>
      </w:pPr>
      <w:r w:rsidRPr="004A7A42">
        <w:rPr>
          <w:sz w:val="24"/>
          <w:szCs w:val="24"/>
        </w:rPr>
        <w:t>Every five years, the Queen Anne’s County LMB conducts a community-wide needs assessment to gather updated data and receive community feedback. This approach helps ensure that the LMB’s priorities reflect both measurable community conditions and the lived experiences of Queen Anne’s County residents. The next assessment cycle will begin in 2026 and continue through June 2027. Findings from the assessment will inform future updates to this Distribution Plan.</w:t>
      </w:r>
    </w:p>
    <w:p w14:paraId="5F7C0BD5" w14:textId="34DEDD05" w:rsidR="00C1734F" w:rsidRPr="00C1734F" w:rsidRDefault="00274DAD" w:rsidP="00C1734F">
      <w:pPr>
        <w:pStyle w:val="Heading2"/>
        <w:rPr>
          <w:sz w:val="26"/>
          <w:szCs w:val="26"/>
        </w:rPr>
      </w:pPr>
      <w:r>
        <w:rPr>
          <w:sz w:val="26"/>
          <w:szCs w:val="26"/>
        </w:rPr>
        <w:t>Priority Setting</w:t>
      </w:r>
    </w:p>
    <w:p w14:paraId="5466FEBD" w14:textId="6E3CDBC2" w:rsidR="00274DAD" w:rsidRPr="004A7A42" w:rsidRDefault="00274DAD" w:rsidP="00274DAD">
      <w:pPr>
        <w:rPr>
          <w:sz w:val="24"/>
          <w:szCs w:val="24"/>
        </w:rPr>
      </w:pPr>
      <w:r w:rsidRPr="004A7A42">
        <w:rPr>
          <w:sz w:val="24"/>
          <w:szCs w:val="24"/>
        </w:rPr>
        <w:t xml:space="preserve">The Queen Anne’s County CRRF Ordinance establishes four funding strategies to address identified community priorities. </w:t>
      </w:r>
      <w:r w:rsidR="00C07C92" w:rsidRPr="004A7A42">
        <w:rPr>
          <w:sz w:val="24"/>
          <w:szCs w:val="24"/>
        </w:rPr>
        <w:t>T</w:t>
      </w:r>
      <w:r w:rsidRPr="004A7A42">
        <w:rPr>
          <w:sz w:val="24"/>
          <w:szCs w:val="24"/>
        </w:rPr>
        <w:t xml:space="preserve">he CRRC has ranked the County’s current priorities based on where CRRF investments are expected to have the greatest impact. </w:t>
      </w:r>
    </w:p>
    <w:tbl>
      <w:tblPr>
        <w:tblStyle w:val="PlainTable2"/>
        <w:tblW w:w="0" w:type="auto"/>
        <w:tblLook w:val="04A0" w:firstRow="1" w:lastRow="0" w:firstColumn="1" w:lastColumn="0" w:noHBand="0" w:noVBand="1"/>
      </w:tblPr>
      <w:tblGrid>
        <w:gridCol w:w="1530"/>
        <w:gridCol w:w="4050"/>
        <w:gridCol w:w="3770"/>
      </w:tblGrid>
      <w:tr w:rsidR="00431BAB" w:rsidRPr="004A7A42" w14:paraId="6440B636" w14:textId="77777777" w:rsidTr="002A0D3B">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30" w:type="dxa"/>
          </w:tcPr>
          <w:p w14:paraId="5C627674" w14:textId="77777777" w:rsidR="00431BAB" w:rsidRPr="004A7A42" w:rsidRDefault="00431BAB" w:rsidP="00431BAB">
            <w:pPr>
              <w:spacing w:after="160" w:line="278" w:lineRule="auto"/>
              <w:rPr>
                <w:b w:val="0"/>
                <w:bCs w:val="0"/>
                <w:sz w:val="24"/>
                <w:szCs w:val="24"/>
              </w:rPr>
            </w:pPr>
            <w:r w:rsidRPr="004A7A42">
              <w:rPr>
                <w:b w:val="0"/>
                <w:bCs w:val="0"/>
                <w:sz w:val="24"/>
                <w:szCs w:val="24"/>
              </w:rPr>
              <w:lastRenderedPageBreak/>
              <w:t>Priority Rank</w:t>
            </w:r>
          </w:p>
        </w:tc>
        <w:tc>
          <w:tcPr>
            <w:tcW w:w="4050" w:type="dxa"/>
          </w:tcPr>
          <w:p w14:paraId="486737F3" w14:textId="77777777" w:rsidR="00431BAB" w:rsidRPr="004A7A42" w:rsidRDefault="00431BAB" w:rsidP="00431BAB">
            <w:pPr>
              <w:spacing w:after="160" w:line="278"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r w:rsidRPr="004A7A42">
              <w:rPr>
                <w:b w:val="0"/>
                <w:bCs w:val="0"/>
                <w:sz w:val="24"/>
                <w:szCs w:val="24"/>
              </w:rPr>
              <w:t>Community Need</w:t>
            </w:r>
          </w:p>
        </w:tc>
        <w:tc>
          <w:tcPr>
            <w:tcW w:w="3770" w:type="dxa"/>
          </w:tcPr>
          <w:p w14:paraId="3ADA5020" w14:textId="77777777" w:rsidR="00431BAB" w:rsidRPr="004A7A42" w:rsidRDefault="00431BAB" w:rsidP="00431BAB">
            <w:pPr>
              <w:spacing w:after="160" w:line="278"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r w:rsidRPr="004A7A42">
              <w:rPr>
                <w:b w:val="0"/>
                <w:bCs w:val="0"/>
                <w:sz w:val="24"/>
                <w:szCs w:val="24"/>
              </w:rPr>
              <w:t>Funding Strategy</w:t>
            </w:r>
          </w:p>
        </w:tc>
      </w:tr>
      <w:tr w:rsidR="00431BAB" w:rsidRPr="004A7A42" w14:paraId="56D3BF8A" w14:textId="77777777" w:rsidTr="002A0D3B">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219B269C" w14:textId="77777777" w:rsidR="00431BAB" w:rsidRPr="004A7A42" w:rsidRDefault="00431BAB" w:rsidP="00431BAB">
            <w:pPr>
              <w:spacing w:after="160" w:line="278" w:lineRule="auto"/>
              <w:rPr>
                <w:b w:val="0"/>
                <w:bCs w:val="0"/>
                <w:sz w:val="24"/>
                <w:szCs w:val="24"/>
              </w:rPr>
            </w:pPr>
            <w:r w:rsidRPr="004A7A42">
              <w:rPr>
                <w:b w:val="0"/>
                <w:bCs w:val="0"/>
                <w:sz w:val="24"/>
                <w:szCs w:val="24"/>
              </w:rPr>
              <w:t>1</w:t>
            </w:r>
          </w:p>
        </w:tc>
        <w:tc>
          <w:tcPr>
            <w:tcW w:w="4050" w:type="dxa"/>
            <w:vAlign w:val="center"/>
          </w:tcPr>
          <w:p w14:paraId="58250537" w14:textId="77777777" w:rsidR="00431BAB" w:rsidRPr="004A7A42" w:rsidRDefault="00431BAB" w:rsidP="00431BA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4A7A42">
              <w:rPr>
                <w:sz w:val="24"/>
                <w:szCs w:val="24"/>
              </w:rPr>
              <w:t>Youth Development &amp; Academic Success</w:t>
            </w:r>
          </w:p>
        </w:tc>
        <w:tc>
          <w:tcPr>
            <w:tcW w:w="3770" w:type="dxa"/>
            <w:vAlign w:val="center"/>
          </w:tcPr>
          <w:p w14:paraId="1F45E0F4" w14:textId="77777777" w:rsidR="00431BAB" w:rsidRPr="004A7A42" w:rsidRDefault="00431BAB" w:rsidP="00431BA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4A7A42">
              <w:rPr>
                <w:sz w:val="24"/>
                <w:szCs w:val="24"/>
              </w:rPr>
              <w:t>After-School Programming</w:t>
            </w:r>
          </w:p>
        </w:tc>
      </w:tr>
      <w:tr w:rsidR="00180575" w:rsidRPr="004A7A42" w14:paraId="1559F700" w14:textId="77777777" w:rsidTr="002A0D3B">
        <w:trPr>
          <w:trHeight w:val="720"/>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65E35D33" w14:textId="376567F5" w:rsidR="00180575" w:rsidRPr="004A7A42" w:rsidRDefault="00180575" w:rsidP="00180575">
            <w:pPr>
              <w:rPr>
                <w:b w:val="0"/>
                <w:bCs w:val="0"/>
                <w:sz w:val="24"/>
                <w:szCs w:val="24"/>
              </w:rPr>
            </w:pPr>
            <w:r w:rsidRPr="004A7A42">
              <w:rPr>
                <w:b w:val="0"/>
                <w:bCs w:val="0"/>
                <w:sz w:val="24"/>
                <w:szCs w:val="24"/>
              </w:rPr>
              <w:t>2</w:t>
            </w:r>
          </w:p>
        </w:tc>
        <w:tc>
          <w:tcPr>
            <w:tcW w:w="4050" w:type="dxa"/>
            <w:vAlign w:val="center"/>
          </w:tcPr>
          <w:p w14:paraId="5E7B500E" w14:textId="6A904C66" w:rsidR="00180575" w:rsidRPr="004A7A42" w:rsidRDefault="00180575" w:rsidP="00180575">
            <w:pPr>
              <w:cnfStyle w:val="000000000000" w:firstRow="0" w:lastRow="0" w:firstColumn="0" w:lastColumn="0" w:oddVBand="0" w:evenVBand="0" w:oddHBand="0" w:evenHBand="0" w:firstRowFirstColumn="0" w:firstRowLastColumn="0" w:lastRowFirstColumn="0" w:lastRowLastColumn="0"/>
              <w:rPr>
                <w:sz w:val="24"/>
                <w:szCs w:val="24"/>
              </w:rPr>
            </w:pPr>
            <w:r w:rsidRPr="004A7A42">
              <w:rPr>
                <w:sz w:val="24"/>
                <w:szCs w:val="24"/>
              </w:rPr>
              <w:t>Housing Stability and Homelessness Prevention</w:t>
            </w:r>
          </w:p>
        </w:tc>
        <w:tc>
          <w:tcPr>
            <w:tcW w:w="3770" w:type="dxa"/>
            <w:vAlign w:val="center"/>
          </w:tcPr>
          <w:p w14:paraId="3BBB23D2" w14:textId="3CCFDB24" w:rsidR="00180575" w:rsidRPr="004A7A42" w:rsidRDefault="00180575" w:rsidP="00180575">
            <w:pPr>
              <w:cnfStyle w:val="000000000000" w:firstRow="0" w:lastRow="0" w:firstColumn="0" w:lastColumn="0" w:oddVBand="0" w:evenVBand="0" w:oddHBand="0" w:evenHBand="0" w:firstRowFirstColumn="0" w:firstRowLastColumn="0" w:lastRowFirstColumn="0" w:lastRowLastColumn="0"/>
              <w:rPr>
                <w:sz w:val="24"/>
                <w:szCs w:val="24"/>
              </w:rPr>
            </w:pPr>
            <w:r w:rsidRPr="004A7A42">
              <w:rPr>
                <w:sz w:val="24"/>
                <w:szCs w:val="24"/>
              </w:rPr>
              <w:t>Stabilization Funding</w:t>
            </w:r>
          </w:p>
        </w:tc>
      </w:tr>
      <w:tr w:rsidR="00180575" w:rsidRPr="004A7A42" w14:paraId="06D94665" w14:textId="77777777" w:rsidTr="002A0D3B">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1467F53D" w14:textId="406D7074" w:rsidR="00180575" w:rsidRPr="004A7A42" w:rsidRDefault="00180575" w:rsidP="00180575">
            <w:pPr>
              <w:spacing w:after="160" w:line="278" w:lineRule="auto"/>
              <w:rPr>
                <w:b w:val="0"/>
                <w:bCs w:val="0"/>
                <w:sz w:val="24"/>
                <w:szCs w:val="24"/>
              </w:rPr>
            </w:pPr>
            <w:r w:rsidRPr="004A7A42">
              <w:rPr>
                <w:b w:val="0"/>
                <w:bCs w:val="0"/>
                <w:sz w:val="24"/>
                <w:szCs w:val="24"/>
              </w:rPr>
              <w:t>3</w:t>
            </w:r>
          </w:p>
        </w:tc>
        <w:tc>
          <w:tcPr>
            <w:tcW w:w="4050" w:type="dxa"/>
            <w:vAlign w:val="center"/>
          </w:tcPr>
          <w:p w14:paraId="7337F269" w14:textId="77777777" w:rsidR="00180575" w:rsidRPr="004A7A42" w:rsidRDefault="00180575" w:rsidP="00180575">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4A7A42">
              <w:rPr>
                <w:sz w:val="24"/>
                <w:szCs w:val="24"/>
              </w:rPr>
              <w:t>Economic Opportunity and Entrepreneurship</w:t>
            </w:r>
          </w:p>
        </w:tc>
        <w:tc>
          <w:tcPr>
            <w:tcW w:w="3770" w:type="dxa"/>
            <w:vAlign w:val="center"/>
          </w:tcPr>
          <w:p w14:paraId="445B8A66" w14:textId="77777777" w:rsidR="00180575" w:rsidRPr="004A7A42" w:rsidRDefault="00180575" w:rsidP="00180575">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4A7A42">
              <w:rPr>
                <w:sz w:val="24"/>
                <w:szCs w:val="24"/>
              </w:rPr>
              <w:t>Minority Entrepreneur Training Accelerator (META) Program</w:t>
            </w:r>
          </w:p>
        </w:tc>
      </w:tr>
      <w:tr w:rsidR="00180575" w:rsidRPr="004A7A42" w14:paraId="27FB949B" w14:textId="77777777" w:rsidTr="002A0D3B">
        <w:trPr>
          <w:trHeight w:val="720"/>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63BC2336" w14:textId="77777777" w:rsidR="00180575" w:rsidRPr="004A7A42" w:rsidRDefault="00180575" w:rsidP="00180575">
            <w:pPr>
              <w:spacing w:after="160" w:line="278" w:lineRule="auto"/>
              <w:rPr>
                <w:b w:val="0"/>
                <w:bCs w:val="0"/>
                <w:sz w:val="24"/>
                <w:szCs w:val="24"/>
              </w:rPr>
            </w:pPr>
            <w:r w:rsidRPr="004A7A42">
              <w:rPr>
                <w:b w:val="0"/>
                <w:bCs w:val="0"/>
                <w:sz w:val="24"/>
                <w:szCs w:val="24"/>
              </w:rPr>
              <w:t>4</w:t>
            </w:r>
          </w:p>
        </w:tc>
        <w:tc>
          <w:tcPr>
            <w:tcW w:w="4050" w:type="dxa"/>
            <w:vAlign w:val="center"/>
          </w:tcPr>
          <w:p w14:paraId="439FB592" w14:textId="77777777" w:rsidR="00180575" w:rsidRPr="004A7A42" w:rsidRDefault="00180575" w:rsidP="00180575">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4A7A42">
              <w:rPr>
                <w:sz w:val="24"/>
                <w:szCs w:val="24"/>
              </w:rPr>
              <w:t>Emerging and Changing Community Needs</w:t>
            </w:r>
          </w:p>
        </w:tc>
        <w:tc>
          <w:tcPr>
            <w:tcW w:w="3770" w:type="dxa"/>
            <w:vAlign w:val="center"/>
          </w:tcPr>
          <w:p w14:paraId="61056B8B" w14:textId="77777777" w:rsidR="00180575" w:rsidRPr="004A7A42" w:rsidRDefault="00180575" w:rsidP="00180575">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4A7A42">
              <w:rPr>
                <w:sz w:val="24"/>
                <w:szCs w:val="24"/>
              </w:rPr>
              <w:t>Ad-Hoc Grant Opportunities</w:t>
            </w:r>
          </w:p>
        </w:tc>
      </w:tr>
    </w:tbl>
    <w:p w14:paraId="799A3DB3" w14:textId="77777777" w:rsidR="00C07C92" w:rsidRPr="004A7A42" w:rsidRDefault="00C07C92" w:rsidP="00274DAD">
      <w:pPr>
        <w:rPr>
          <w:sz w:val="24"/>
          <w:szCs w:val="24"/>
        </w:rPr>
      </w:pPr>
    </w:p>
    <w:p w14:paraId="1EB084F9" w14:textId="568142E5" w:rsidR="00C07C92" w:rsidRPr="004A7A42" w:rsidRDefault="00C07C92" w:rsidP="00274DAD">
      <w:pPr>
        <w:rPr>
          <w:sz w:val="24"/>
          <w:szCs w:val="24"/>
        </w:rPr>
      </w:pPr>
      <w:r w:rsidRPr="004A7A42">
        <w:rPr>
          <w:sz w:val="24"/>
          <w:szCs w:val="24"/>
        </w:rPr>
        <w:t xml:space="preserve">The priority ranking reflects current assessment findings, community input, existing community resources, and the strategic role of CRRF funding within Queen Anne’s County’s Broader network of public and private investments. These priorities will be reviewed periodically and may change as </w:t>
      </w:r>
      <w:r w:rsidR="00C1734F" w:rsidRPr="004A7A42">
        <w:rPr>
          <w:sz w:val="24"/>
          <w:szCs w:val="24"/>
        </w:rPr>
        <w:t>the CRRC receives more data and community feedback.</w:t>
      </w:r>
    </w:p>
    <w:p w14:paraId="49349EE5" w14:textId="257F1751" w:rsidR="00A25993" w:rsidRPr="00A25993" w:rsidRDefault="00A25993" w:rsidP="00A25993">
      <w:pPr>
        <w:pStyle w:val="Heading1"/>
        <w:rPr>
          <w:sz w:val="32"/>
          <w:szCs w:val="32"/>
        </w:rPr>
      </w:pPr>
      <w:r>
        <w:rPr>
          <w:sz w:val="32"/>
          <w:szCs w:val="32"/>
        </w:rPr>
        <w:t>Funding Priorities</w:t>
      </w:r>
    </w:p>
    <w:p w14:paraId="323DEC60" w14:textId="4FEC2F1B" w:rsidR="00431BAB" w:rsidRPr="00BD369F" w:rsidRDefault="00431BAB" w:rsidP="00BD369F">
      <w:pPr>
        <w:pStyle w:val="Heading2"/>
        <w:rPr>
          <w:sz w:val="26"/>
          <w:szCs w:val="26"/>
        </w:rPr>
      </w:pPr>
      <w:r w:rsidRPr="00BD369F">
        <w:rPr>
          <w:sz w:val="26"/>
          <w:szCs w:val="26"/>
        </w:rPr>
        <w:t>Priority 1: Youth Development and Academic Success</w:t>
      </w:r>
    </w:p>
    <w:p w14:paraId="1AE98DAE" w14:textId="1E64E571" w:rsidR="00946ABE" w:rsidRPr="004A7A42" w:rsidRDefault="003C119D" w:rsidP="00431BAB">
      <w:pPr>
        <w:rPr>
          <w:sz w:val="24"/>
          <w:szCs w:val="24"/>
        </w:rPr>
      </w:pPr>
      <w:r w:rsidRPr="004A7A42">
        <w:rPr>
          <w:sz w:val="24"/>
          <w:szCs w:val="24"/>
        </w:rPr>
        <w:t xml:space="preserve">According to the After School Alliance’s </w:t>
      </w:r>
      <w:r w:rsidRPr="004A7A42">
        <w:rPr>
          <w:i/>
          <w:iCs/>
          <w:sz w:val="24"/>
          <w:szCs w:val="24"/>
        </w:rPr>
        <w:t>America After 3 PM Summer Report</w:t>
      </w:r>
      <w:r w:rsidRPr="004A7A42">
        <w:rPr>
          <w:sz w:val="24"/>
          <w:szCs w:val="24"/>
        </w:rPr>
        <w:t xml:space="preserve">, approximately 218,095 Maryland children, roughly two in five whose parents would like to enroll them in a summer program—are unable to participate because programs are unavailable or too expensive. Beyond availability and cost, many Queen Anne’s County </w:t>
      </w:r>
      <w:r w:rsidR="008409FF" w:rsidRPr="004A7A42">
        <w:rPr>
          <w:sz w:val="24"/>
          <w:szCs w:val="24"/>
        </w:rPr>
        <w:t>families</w:t>
      </w:r>
      <w:r w:rsidRPr="004A7A42">
        <w:rPr>
          <w:sz w:val="24"/>
          <w:szCs w:val="24"/>
        </w:rPr>
        <w:t xml:space="preserve"> experience transportation barriers that </w:t>
      </w:r>
      <w:r w:rsidR="00946ABE" w:rsidRPr="004A7A42">
        <w:rPr>
          <w:sz w:val="24"/>
          <w:szCs w:val="24"/>
        </w:rPr>
        <w:t xml:space="preserve">further </w:t>
      </w:r>
      <w:r w:rsidRPr="004A7A42">
        <w:rPr>
          <w:sz w:val="24"/>
          <w:szCs w:val="24"/>
        </w:rPr>
        <w:t xml:space="preserve">limit access to </w:t>
      </w:r>
      <w:r w:rsidR="00946ABE" w:rsidRPr="004A7A42">
        <w:rPr>
          <w:sz w:val="24"/>
          <w:szCs w:val="24"/>
        </w:rPr>
        <w:t>quality out-of-school time programs</w:t>
      </w:r>
      <w:r w:rsidRPr="004A7A42">
        <w:rPr>
          <w:sz w:val="24"/>
          <w:szCs w:val="24"/>
        </w:rPr>
        <w:t xml:space="preserve">. </w:t>
      </w:r>
      <w:r w:rsidR="00946ABE" w:rsidRPr="004A7A42">
        <w:rPr>
          <w:sz w:val="24"/>
          <w:szCs w:val="24"/>
        </w:rPr>
        <w:t xml:space="preserve">These challenges affect families not only during the summer months, but throughout the school year. </w:t>
      </w:r>
    </w:p>
    <w:p w14:paraId="327E8204" w14:textId="698D0237" w:rsidR="00431BAB" w:rsidRPr="004A7A42" w:rsidRDefault="00946ABE" w:rsidP="00431BAB">
      <w:pPr>
        <w:rPr>
          <w:sz w:val="24"/>
          <w:szCs w:val="24"/>
        </w:rPr>
      </w:pPr>
      <w:r w:rsidRPr="004A7A42">
        <w:rPr>
          <w:sz w:val="24"/>
          <w:szCs w:val="24"/>
        </w:rPr>
        <w:t>R</w:t>
      </w:r>
      <w:r w:rsidR="003C119D" w:rsidRPr="004A7A42">
        <w:rPr>
          <w:sz w:val="24"/>
          <w:szCs w:val="24"/>
        </w:rPr>
        <w:t xml:space="preserve">esearch consistently demonstrates the importance of out-of-school time programs. </w:t>
      </w:r>
      <w:r w:rsidRPr="004A7A42">
        <w:rPr>
          <w:sz w:val="24"/>
          <w:szCs w:val="24"/>
        </w:rPr>
        <w:t>P</w:t>
      </w:r>
      <w:r w:rsidR="002045CB" w:rsidRPr="004A7A42">
        <w:rPr>
          <w:sz w:val="24"/>
          <w:szCs w:val="24"/>
        </w:rPr>
        <w:t xml:space="preserve">articipation in quality out-of-school programs improves academic achievement, reduces </w:t>
      </w:r>
      <w:r w:rsidR="003C119D" w:rsidRPr="004A7A42">
        <w:rPr>
          <w:sz w:val="24"/>
          <w:szCs w:val="24"/>
        </w:rPr>
        <w:t>summer learning loss</w:t>
      </w:r>
      <w:r w:rsidR="002045CB" w:rsidRPr="004A7A42">
        <w:rPr>
          <w:sz w:val="24"/>
          <w:szCs w:val="24"/>
        </w:rPr>
        <w:t xml:space="preserve">, strengthens school engagement, and contributes to long-term positive outcomes for children and youth. These programs also support working families by </w:t>
      </w:r>
      <w:r w:rsidR="008409FF" w:rsidRPr="004A7A42">
        <w:rPr>
          <w:sz w:val="24"/>
          <w:szCs w:val="24"/>
        </w:rPr>
        <w:t xml:space="preserve">providing safe, enriching opportunities that complement classroom learning, foster healthy social skills, and provide consistent support during out-of-school hours, school breaks, and summer months. </w:t>
      </w:r>
    </w:p>
    <w:p w14:paraId="07BCAD88" w14:textId="77777777" w:rsidR="00BC4525" w:rsidRPr="004A7A42" w:rsidRDefault="00946ABE" w:rsidP="00431BAB">
      <w:pPr>
        <w:rPr>
          <w:sz w:val="24"/>
          <w:szCs w:val="24"/>
        </w:rPr>
      </w:pPr>
      <w:r w:rsidRPr="004A7A42">
        <w:rPr>
          <w:sz w:val="24"/>
          <w:szCs w:val="24"/>
        </w:rPr>
        <w:lastRenderedPageBreak/>
        <w:t>Supporting high-quality out-of-school time programming is the County’s highest current priority for CRRF investments. These programs are essential as a preventative strategy that strengthens families, promotes educational success, and supports long-term community well-being. The table below summarizes the assessment findings that support this priority.</w:t>
      </w:r>
    </w:p>
    <w:p w14:paraId="1D0306A3" w14:textId="1E0D8539" w:rsidR="009D337B" w:rsidRPr="004A7A42" w:rsidRDefault="00946ABE" w:rsidP="00431BAB">
      <w:pPr>
        <w:rPr>
          <w:sz w:val="24"/>
          <w:szCs w:val="24"/>
        </w:rPr>
      </w:pPr>
      <w:r w:rsidRPr="004A7A42">
        <w:rPr>
          <w:sz w:val="24"/>
          <w:szCs w:val="24"/>
        </w:rPr>
        <w:t xml:space="preserve">  </w:t>
      </w:r>
    </w:p>
    <w:tbl>
      <w:tblPr>
        <w:tblStyle w:val="PlainTable2"/>
        <w:tblW w:w="0" w:type="auto"/>
        <w:tblLook w:val="04A0" w:firstRow="1" w:lastRow="0" w:firstColumn="1" w:lastColumn="0" w:noHBand="0" w:noVBand="1"/>
      </w:tblPr>
      <w:tblGrid>
        <w:gridCol w:w="2515"/>
        <w:gridCol w:w="3960"/>
        <w:gridCol w:w="2875"/>
      </w:tblGrid>
      <w:tr w:rsidR="009D337B" w:rsidRPr="004A7A42" w14:paraId="23641AD5" w14:textId="77777777" w:rsidTr="00B52F43">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515" w:type="dxa"/>
          </w:tcPr>
          <w:p w14:paraId="0AE1F4ED" w14:textId="0AA0B5AD" w:rsidR="009D337B" w:rsidRPr="004A7A42" w:rsidRDefault="009D337B" w:rsidP="009D337B">
            <w:pPr>
              <w:rPr>
                <w:sz w:val="24"/>
                <w:szCs w:val="24"/>
              </w:rPr>
            </w:pPr>
            <w:r w:rsidRPr="004A7A42">
              <w:rPr>
                <w:sz w:val="24"/>
                <w:szCs w:val="24"/>
              </w:rPr>
              <w:t>Assessment Indicator</w:t>
            </w:r>
          </w:p>
        </w:tc>
        <w:tc>
          <w:tcPr>
            <w:tcW w:w="3960" w:type="dxa"/>
          </w:tcPr>
          <w:p w14:paraId="197DE8EA" w14:textId="262E4462" w:rsidR="009D337B" w:rsidRPr="004A7A42" w:rsidRDefault="009D337B" w:rsidP="009D337B">
            <w:pPr>
              <w:cnfStyle w:val="100000000000" w:firstRow="1" w:lastRow="0" w:firstColumn="0" w:lastColumn="0" w:oddVBand="0" w:evenVBand="0" w:oddHBand="0" w:evenHBand="0" w:firstRowFirstColumn="0" w:firstRowLastColumn="0" w:lastRowFirstColumn="0" w:lastRowLastColumn="0"/>
              <w:rPr>
                <w:sz w:val="24"/>
                <w:szCs w:val="24"/>
              </w:rPr>
            </w:pPr>
            <w:r w:rsidRPr="004A7A42">
              <w:rPr>
                <w:sz w:val="24"/>
                <w:szCs w:val="24"/>
              </w:rPr>
              <w:t>Current Finding</w:t>
            </w:r>
          </w:p>
        </w:tc>
        <w:tc>
          <w:tcPr>
            <w:tcW w:w="2875" w:type="dxa"/>
          </w:tcPr>
          <w:p w14:paraId="0E5D110F" w14:textId="60778D54" w:rsidR="009D337B" w:rsidRPr="004A7A42" w:rsidRDefault="009D337B" w:rsidP="009D337B">
            <w:pPr>
              <w:cnfStyle w:val="100000000000" w:firstRow="1" w:lastRow="0" w:firstColumn="0" w:lastColumn="0" w:oddVBand="0" w:evenVBand="0" w:oddHBand="0" w:evenHBand="0" w:firstRowFirstColumn="0" w:firstRowLastColumn="0" w:lastRowFirstColumn="0" w:lastRowLastColumn="0"/>
              <w:rPr>
                <w:sz w:val="24"/>
                <w:szCs w:val="24"/>
              </w:rPr>
            </w:pPr>
            <w:r w:rsidRPr="004A7A42">
              <w:rPr>
                <w:sz w:val="24"/>
                <w:szCs w:val="24"/>
              </w:rPr>
              <w:t>Source</w:t>
            </w:r>
          </w:p>
        </w:tc>
      </w:tr>
      <w:tr w:rsidR="009D337B" w:rsidRPr="004A7A42" w14:paraId="7EAAC638" w14:textId="77777777" w:rsidTr="00B52F43">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515" w:type="dxa"/>
          </w:tcPr>
          <w:p w14:paraId="4D6BC9C7" w14:textId="5CAF80D6" w:rsidR="009D337B" w:rsidRPr="004A7A42" w:rsidRDefault="00DC7793" w:rsidP="009D337B">
            <w:pPr>
              <w:rPr>
                <w:sz w:val="24"/>
                <w:szCs w:val="24"/>
              </w:rPr>
            </w:pPr>
            <w:r w:rsidRPr="004A7A42">
              <w:rPr>
                <w:sz w:val="24"/>
                <w:szCs w:val="24"/>
              </w:rPr>
              <w:t>After-school Activities</w:t>
            </w:r>
          </w:p>
        </w:tc>
        <w:tc>
          <w:tcPr>
            <w:tcW w:w="3960" w:type="dxa"/>
          </w:tcPr>
          <w:p w14:paraId="3B28ABE3" w14:textId="5CCDB29A" w:rsidR="009D337B" w:rsidRPr="004A7A42" w:rsidRDefault="009D337B" w:rsidP="009D337B">
            <w:pPr>
              <w:cnfStyle w:val="000000100000" w:firstRow="0" w:lastRow="0" w:firstColumn="0" w:lastColumn="0" w:oddVBand="0" w:evenVBand="0" w:oddHBand="1" w:evenHBand="0" w:firstRowFirstColumn="0" w:firstRowLastColumn="0" w:lastRowFirstColumn="0" w:lastRowLastColumn="0"/>
              <w:rPr>
                <w:sz w:val="24"/>
                <w:szCs w:val="24"/>
              </w:rPr>
            </w:pPr>
            <w:r w:rsidRPr="004A7A42">
              <w:rPr>
                <w:sz w:val="24"/>
                <w:szCs w:val="24"/>
              </w:rPr>
              <w:t>46% identified after-school activities as needing improvement.</w:t>
            </w:r>
          </w:p>
        </w:tc>
        <w:tc>
          <w:tcPr>
            <w:tcW w:w="2875" w:type="dxa"/>
          </w:tcPr>
          <w:p w14:paraId="22570014" w14:textId="06B2922A" w:rsidR="009D337B" w:rsidRPr="004A7A42" w:rsidRDefault="00DC7793" w:rsidP="009D337B">
            <w:pPr>
              <w:cnfStyle w:val="000000100000" w:firstRow="0" w:lastRow="0" w:firstColumn="0" w:lastColumn="0" w:oddVBand="0" w:evenVBand="0" w:oddHBand="1" w:evenHBand="0" w:firstRowFirstColumn="0" w:firstRowLastColumn="0" w:lastRowFirstColumn="0" w:lastRowLastColumn="0"/>
              <w:rPr>
                <w:sz w:val="24"/>
                <w:szCs w:val="24"/>
              </w:rPr>
            </w:pPr>
            <w:r w:rsidRPr="004A7A42">
              <w:rPr>
                <w:sz w:val="24"/>
                <w:szCs w:val="24"/>
              </w:rPr>
              <w:t>2022 LMB Needs Assessment</w:t>
            </w:r>
          </w:p>
        </w:tc>
      </w:tr>
      <w:tr w:rsidR="009D337B" w:rsidRPr="004A7A42" w14:paraId="56451D68" w14:textId="77777777" w:rsidTr="00B52F43">
        <w:trPr>
          <w:trHeight w:val="864"/>
        </w:trPr>
        <w:tc>
          <w:tcPr>
            <w:cnfStyle w:val="001000000000" w:firstRow="0" w:lastRow="0" w:firstColumn="1" w:lastColumn="0" w:oddVBand="0" w:evenVBand="0" w:oddHBand="0" w:evenHBand="0" w:firstRowFirstColumn="0" w:firstRowLastColumn="0" w:lastRowFirstColumn="0" w:lastRowLastColumn="0"/>
            <w:tcW w:w="2515" w:type="dxa"/>
          </w:tcPr>
          <w:p w14:paraId="78835311" w14:textId="53EE7924" w:rsidR="009D337B" w:rsidRPr="004A7A42" w:rsidRDefault="009D337B" w:rsidP="009D337B">
            <w:pPr>
              <w:rPr>
                <w:sz w:val="24"/>
                <w:szCs w:val="24"/>
              </w:rPr>
            </w:pPr>
            <w:r w:rsidRPr="004A7A42">
              <w:rPr>
                <w:sz w:val="24"/>
                <w:szCs w:val="24"/>
              </w:rPr>
              <w:t>Transportation</w:t>
            </w:r>
          </w:p>
        </w:tc>
        <w:tc>
          <w:tcPr>
            <w:tcW w:w="3960" w:type="dxa"/>
          </w:tcPr>
          <w:p w14:paraId="6116B5C6" w14:textId="71B4B49B" w:rsidR="009D337B" w:rsidRPr="004A7A42" w:rsidRDefault="009D337B" w:rsidP="009D337B">
            <w:pPr>
              <w:cnfStyle w:val="000000000000" w:firstRow="0" w:lastRow="0" w:firstColumn="0" w:lastColumn="0" w:oddVBand="0" w:evenVBand="0" w:oddHBand="0" w:evenHBand="0" w:firstRowFirstColumn="0" w:firstRowLastColumn="0" w:lastRowFirstColumn="0" w:lastRowLastColumn="0"/>
              <w:rPr>
                <w:sz w:val="24"/>
                <w:szCs w:val="24"/>
              </w:rPr>
            </w:pPr>
            <w:r w:rsidRPr="004A7A42">
              <w:rPr>
                <w:sz w:val="24"/>
                <w:szCs w:val="24"/>
              </w:rPr>
              <w:t>74% reported poor access to accessible transportation.</w:t>
            </w:r>
          </w:p>
        </w:tc>
        <w:tc>
          <w:tcPr>
            <w:tcW w:w="2875" w:type="dxa"/>
          </w:tcPr>
          <w:p w14:paraId="3F485DD9" w14:textId="04B216B0" w:rsidR="009D337B" w:rsidRPr="004A7A42" w:rsidRDefault="00DC7793" w:rsidP="009D337B">
            <w:pPr>
              <w:cnfStyle w:val="000000000000" w:firstRow="0" w:lastRow="0" w:firstColumn="0" w:lastColumn="0" w:oddVBand="0" w:evenVBand="0" w:oddHBand="0" w:evenHBand="0" w:firstRowFirstColumn="0" w:firstRowLastColumn="0" w:lastRowFirstColumn="0" w:lastRowLastColumn="0"/>
              <w:rPr>
                <w:sz w:val="24"/>
                <w:szCs w:val="24"/>
              </w:rPr>
            </w:pPr>
            <w:r w:rsidRPr="004A7A42">
              <w:rPr>
                <w:sz w:val="24"/>
                <w:szCs w:val="24"/>
              </w:rPr>
              <w:t>2022 LMB Needs Assessment</w:t>
            </w:r>
          </w:p>
        </w:tc>
      </w:tr>
      <w:tr w:rsidR="009D337B" w:rsidRPr="004A7A42" w14:paraId="412CA491" w14:textId="77777777" w:rsidTr="00B52F43">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515" w:type="dxa"/>
          </w:tcPr>
          <w:p w14:paraId="3485F4E0" w14:textId="7EAA4D64" w:rsidR="009D337B" w:rsidRPr="004A7A42" w:rsidRDefault="009D337B" w:rsidP="009D337B">
            <w:pPr>
              <w:rPr>
                <w:sz w:val="24"/>
                <w:szCs w:val="24"/>
              </w:rPr>
            </w:pPr>
            <w:r w:rsidRPr="004A7A42">
              <w:rPr>
                <w:sz w:val="24"/>
                <w:szCs w:val="24"/>
              </w:rPr>
              <w:t xml:space="preserve">Youth enrichment </w:t>
            </w:r>
          </w:p>
        </w:tc>
        <w:tc>
          <w:tcPr>
            <w:tcW w:w="3960" w:type="dxa"/>
          </w:tcPr>
          <w:p w14:paraId="121003E7" w14:textId="4552BB41" w:rsidR="009D337B" w:rsidRPr="004A7A42" w:rsidRDefault="009D337B" w:rsidP="009D337B">
            <w:pPr>
              <w:cnfStyle w:val="000000100000" w:firstRow="0" w:lastRow="0" w:firstColumn="0" w:lastColumn="0" w:oddVBand="0" w:evenVBand="0" w:oddHBand="1" w:evenHBand="0" w:firstRowFirstColumn="0" w:firstRowLastColumn="0" w:lastRowFirstColumn="0" w:lastRowLastColumn="0"/>
              <w:rPr>
                <w:sz w:val="24"/>
                <w:szCs w:val="24"/>
              </w:rPr>
            </w:pPr>
            <w:r w:rsidRPr="004A7A42">
              <w:rPr>
                <w:sz w:val="24"/>
                <w:szCs w:val="24"/>
              </w:rPr>
              <w:t>32% social skills; 24% recreation; 24% arts &amp; music; 23% outdoor opportunities.</w:t>
            </w:r>
          </w:p>
        </w:tc>
        <w:tc>
          <w:tcPr>
            <w:tcW w:w="2875" w:type="dxa"/>
          </w:tcPr>
          <w:p w14:paraId="0B72762F" w14:textId="5737F7F1" w:rsidR="009D337B" w:rsidRPr="004A7A42" w:rsidRDefault="00DC7793" w:rsidP="009D337B">
            <w:pPr>
              <w:cnfStyle w:val="000000100000" w:firstRow="0" w:lastRow="0" w:firstColumn="0" w:lastColumn="0" w:oddVBand="0" w:evenVBand="0" w:oddHBand="1" w:evenHBand="0" w:firstRowFirstColumn="0" w:firstRowLastColumn="0" w:lastRowFirstColumn="0" w:lastRowLastColumn="0"/>
              <w:rPr>
                <w:sz w:val="24"/>
                <w:szCs w:val="24"/>
              </w:rPr>
            </w:pPr>
            <w:r w:rsidRPr="004A7A42">
              <w:rPr>
                <w:sz w:val="24"/>
                <w:szCs w:val="24"/>
              </w:rPr>
              <w:t>2022 LMB Needs Assessment</w:t>
            </w:r>
          </w:p>
        </w:tc>
      </w:tr>
      <w:tr w:rsidR="009D337B" w:rsidRPr="004A7A42" w14:paraId="1E16DD4C" w14:textId="77777777" w:rsidTr="00B52F43">
        <w:trPr>
          <w:trHeight w:val="864"/>
        </w:trPr>
        <w:tc>
          <w:tcPr>
            <w:cnfStyle w:val="001000000000" w:firstRow="0" w:lastRow="0" w:firstColumn="1" w:lastColumn="0" w:oddVBand="0" w:evenVBand="0" w:oddHBand="0" w:evenHBand="0" w:firstRowFirstColumn="0" w:firstRowLastColumn="0" w:lastRowFirstColumn="0" w:lastRowLastColumn="0"/>
            <w:tcW w:w="2515" w:type="dxa"/>
          </w:tcPr>
          <w:p w14:paraId="68B2310E" w14:textId="776C9B27" w:rsidR="009D337B" w:rsidRPr="004A7A42" w:rsidRDefault="00DC7793" w:rsidP="009D337B">
            <w:pPr>
              <w:rPr>
                <w:sz w:val="24"/>
                <w:szCs w:val="24"/>
              </w:rPr>
            </w:pPr>
            <w:r w:rsidRPr="004A7A42">
              <w:rPr>
                <w:sz w:val="24"/>
                <w:szCs w:val="24"/>
              </w:rPr>
              <w:t>Community priorities</w:t>
            </w:r>
          </w:p>
        </w:tc>
        <w:tc>
          <w:tcPr>
            <w:tcW w:w="3960" w:type="dxa"/>
          </w:tcPr>
          <w:p w14:paraId="1710D2E2" w14:textId="2161F077" w:rsidR="009D337B" w:rsidRPr="004A7A42" w:rsidRDefault="009D337B" w:rsidP="009D337B">
            <w:pPr>
              <w:cnfStyle w:val="000000000000" w:firstRow="0" w:lastRow="0" w:firstColumn="0" w:lastColumn="0" w:oddVBand="0" w:evenVBand="0" w:oddHBand="0" w:evenHBand="0" w:firstRowFirstColumn="0" w:firstRowLastColumn="0" w:lastRowFirstColumn="0" w:lastRowLastColumn="0"/>
              <w:rPr>
                <w:sz w:val="24"/>
                <w:szCs w:val="24"/>
              </w:rPr>
            </w:pPr>
            <w:r w:rsidRPr="004A7A42">
              <w:rPr>
                <w:sz w:val="24"/>
                <w:szCs w:val="24"/>
              </w:rPr>
              <w:t>Career exploration, financial literacy, and life skills identified as community priorities.</w:t>
            </w:r>
          </w:p>
        </w:tc>
        <w:tc>
          <w:tcPr>
            <w:tcW w:w="2875" w:type="dxa"/>
          </w:tcPr>
          <w:p w14:paraId="7B76F80C" w14:textId="0D899497" w:rsidR="009D337B" w:rsidRPr="004A7A42" w:rsidRDefault="009D337B" w:rsidP="009D337B">
            <w:pPr>
              <w:cnfStyle w:val="000000000000" w:firstRow="0" w:lastRow="0" w:firstColumn="0" w:lastColumn="0" w:oddVBand="0" w:evenVBand="0" w:oddHBand="0" w:evenHBand="0" w:firstRowFirstColumn="0" w:firstRowLastColumn="0" w:lastRowFirstColumn="0" w:lastRowLastColumn="0"/>
              <w:rPr>
                <w:sz w:val="24"/>
                <w:szCs w:val="24"/>
              </w:rPr>
            </w:pPr>
            <w:r w:rsidRPr="004A7A42">
              <w:rPr>
                <w:sz w:val="24"/>
                <w:szCs w:val="24"/>
              </w:rPr>
              <w:t>2025 LMB Retreat</w:t>
            </w:r>
          </w:p>
        </w:tc>
      </w:tr>
    </w:tbl>
    <w:p w14:paraId="2234E3AD" w14:textId="77777777" w:rsidR="00180575" w:rsidRDefault="00180575" w:rsidP="00493437"/>
    <w:p w14:paraId="18850896" w14:textId="4D0911B2" w:rsidR="0041439D" w:rsidRPr="00FA5A88" w:rsidRDefault="00903706" w:rsidP="00FA5A88">
      <w:pPr>
        <w:pStyle w:val="Heading2"/>
        <w:rPr>
          <w:sz w:val="26"/>
          <w:szCs w:val="26"/>
        </w:rPr>
      </w:pPr>
      <w:r>
        <w:rPr>
          <w:sz w:val="26"/>
          <w:szCs w:val="26"/>
        </w:rPr>
        <w:t>Priority 3: Housing Stability and Homelessness Prevention</w:t>
      </w:r>
    </w:p>
    <w:p w14:paraId="2C512DE8" w14:textId="18CDC7A0" w:rsidR="00903706" w:rsidRPr="004A7A42" w:rsidRDefault="006141B6" w:rsidP="00903706">
      <w:pPr>
        <w:rPr>
          <w:sz w:val="24"/>
          <w:szCs w:val="24"/>
        </w:rPr>
      </w:pPr>
      <w:r w:rsidRPr="004A7A42">
        <w:rPr>
          <w:sz w:val="24"/>
          <w:szCs w:val="24"/>
        </w:rPr>
        <w:t xml:space="preserve">Across the nation, state and local governments are facing the issue of housing affordability that continues to affect both homeowners and renters. </w:t>
      </w:r>
      <w:r w:rsidRPr="004A7A42">
        <w:rPr>
          <w:i/>
          <w:iCs/>
          <w:sz w:val="24"/>
          <w:szCs w:val="24"/>
        </w:rPr>
        <w:t>The State of the Nation’s Housing 2026</w:t>
      </w:r>
      <w:r w:rsidRPr="004A7A42">
        <w:rPr>
          <w:sz w:val="24"/>
          <w:szCs w:val="24"/>
        </w:rPr>
        <w:t xml:space="preserve"> reports that the median sales price of an existing single-family home was 4.7 times the median household income in 2025. This is substantially higher than the average ration of 3.2 during the 1990s. Housing costs are also placing pressure on households. In 2024, nearly one-quarter of homeowners and nearly half of all renters spent more than 30 percent of their income on housing and utilities.</w:t>
      </w:r>
      <w:r w:rsidR="00CB3446" w:rsidRPr="004A7A42">
        <w:rPr>
          <w:rStyle w:val="FootnoteReference"/>
          <w:sz w:val="24"/>
          <w:szCs w:val="24"/>
        </w:rPr>
        <w:footnoteReference w:id="1"/>
      </w:r>
      <w:r w:rsidRPr="004A7A42">
        <w:rPr>
          <w:sz w:val="24"/>
          <w:szCs w:val="24"/>
        </w:rPr>
        <w:t xml:space="preserve"> </w:t>
      </w:r>
    </w:p>
    <w:p w14:paraId="16801D7D" w14:textId="35DFAF0B" w:rsidR="00676693" w:rsidRPr="004A7A42" w:rsidRDefault="00676693" w:rsidP="00903706">
      <w:pPr>
        <w:rPr>
          <w:sz w:val="24"/>
          <w:szCs w:val="24"/>
        </w:rPr>
      </w:pPr>
      <w:r w:rsidRPr="004A7A42">
        <w:rPr>
          <w:sz w:val="24"/>
          <w:szCs w:val="24"/>
        </w:rPr>
        <w:t xml:space="preserve">The collective assessment and planning work of the Local Management Board </w:t>
      </w:r>
      <w:r w:rsidR="0050236E" w:rsidRPr="004A7A42">
        <w:rPr>
          <w:sz w:val="24"/>
          <w:szCs w:val="24"/>
        </w:rPr>
        <w:t xml:space="preserve">and the Department of Housing and Family Services </w:t>
      </w:r>
      <w:r w:rsidR="00FD55C4" w:rsidRPr="004A7A42">
        <w:rPr>
          <w:sz w:val="24"/>
          <w:szCs w:val="24"/>
        </w:rPr>
        <w:t>aligns with these broader national trends</w:t>
      </w:r>
      <w:r w:rsidR="0050236E" w:rsidRPr="004A7A42">
        <w:rPr>
          <w:sz w:val="24"/>
          <w:szCs w:val="24"/>
        </w:rPr>
        <w:t>. Local findings identify housing cost burden, limited rental availability, rising housing costs, and demand for housing assistance that exceeds available resources. Together, these conditions create barriers for</w:t>
      </w:r>
      <w:r w:rsidR="0050236E">
        <w:t xml:space="preserve"> </w:t>
      </w:r>
      <w:r w:rsidR="0050236E" w:rsidRPr="004A7A42">
        <w:rPr>
          <w:sz w:val="24"/>
          <w:szCs w:val="24"/>
        </w:rPr>
        <w:t xml:space="preserve">residents seeking housing and increase the risk that a financial setback may lead to housing instability, displacement, or homelessness. </w:t>
      </w:r>
    </w:p>
    <w:p w14:paraId="6764B40E" w14:textId="5C4C8A7F" w:rsidR="00180575" w:rsidRPr="004A7A42" w:rsidRDefault="00765035" w:rsidP="00903706">
      <w:pPr>
        <w:rPr>
          <w:sz w:val="24"/>
          <w:szCs w:val="24"/>
        </w:rPr>
      </w:pPr>
      <w:r w:rsidRPr="004A7A42">
        <w:rPr>
          <w:sz w:val="24"/>
          <w:szCs w:val="24"/>
        </w:rPr>
        <w:lastRenderedPageBreak/>
        <w:t xml:space="preserve">In response, the County prioritizes CRRF investments that strengthen housing stability and help prevent homelessness. Funding may support assistance and services that help residents obtain housing, remain in their homes, and address barriers that threaten long-term stability. The table below summarizes local data and assessment findings supporting this priority. </w:t>
      </w:r>
    </w:p>
    <w:tbl>
      <w:tblPr>
        <w:tblStyle w:val="PlainTable2"/>
        <w:tblW w:w="10620" w:type="dxa"/>
        <w:jc w:val="center"/>
        <w:tblLook w:val="04A0" w:firstRow="1" w:lastRow="0" w:firstColumn="1" w:lastColumn="0" w:noHBand="0" w:noVBand="1"/>
      </w:tblPr>
      <w:tblGrid>
        <w:gridCol w:w="3150"/>
        <w:gridCol w:w="5130"/>
        <w:gridCol w:w="2340"/>
      </w:tblGrid>
      <w:tr w:rsidR="002D5B28" w:rsidRPr="004A7A42" w14:paraId="23FB7BC0" w14:textId="77777777" w:rsidTr="0070677C">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150" w:type="dxa"/>
          </w:tcPr>
          <w:p w14:paraId="1E00B7F0" w14:textId="77777777" w:rsidR="002D5B28" w:rsidRPr="004A7A42" w:rsidRDefault="002D5B28" w:rsidP="0070677C">
            <w:pPr>
              <w:rPr>
                <w:b w:val="0"/>
                <w:bCs w:val="0"/>
                <w:sz w:val="24"/>
                <w:szCs w:val="24"/>
              </w:rPr>
            </w:pPr>
            <w:r w:rsidRPr="004A7A42">
              <w:rPr>
                <w:sz w:val="24"/>
                <w:szCs w:val="24"/>
              </w:rPr>
              <w:t>Assessment Indicator</w:t>
            </w:r>
          </w:p>
        </w:tc>
        <w:tc>
          <w:tcPr>
            <w:tcW w:w="5130" w:type="dxa"/>
          </w:tcPr>
          <w:p w14:paraId="1C9D26DE" w14:textId="77777777" w:rsidR="002D5B28" w:rsidRPr="004A7A42" w:rsidRDefault="002D5B28" w:rsidP="0070677C">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4A7A42">
              <w:rPr>
                <w:sz w:val="24"/>
                <w:szCs w:val="24"/>
              </w:rPr>
              <w:t>Current Finding</w:t>
            </w:r>
          </w:p>
        </w:tc>
        <w:tc>
          <w:tcPr>
            <w:tcW w:w="2340" w:type="dxa"/>
          </w:tcPr>
          <w:p w14:paraId="53E8C5DC" w14:textId="77777777" w:rsidR="002D5B28" w:rsidRPr="004A7A42" w:rsidRDefault="002D5B28" w:rsidP="0070677C">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4A7A42">
              <w:rPr>
                <w:sz w:val="24"/>
                <w:szCs w:val="24"/>
              </w:rPr>
              <w:t>Source</w:t>
            </w:r>
          </w:p>
        </w:tc>
      </w:tr>
      <w:tr w:rsidR="002D5B28" w:rsidRPr="004A7A42" w14:paraId="0B5B3591" w14:textId="77777777" w:rsidTr="0070677C">
        <w:trPr>
          <w:cnfStyle w:val="000000100000" w:firstRow="0" w:lastRow="0" w:firstColumn="0" w:lastColumn="0" w:oddVBand="0" w:evenVBand="0" w:oddHBand="1" w:evenHBand="0" w:firstRowFirstColumn="0" w:firstRowLastColumn="0" w:lastRowFirstColumn="0" w:lastRowLastColumn="0"/>
          <w:trHeight w:val="1008"/>
          <w:jc w:val="center"/>
        </w:trPr>
        <w:tc>
          <w:tcPr>
            <w:cnfStyle w:val="001000000000" w:firstRow="0" w:lastRow="0" w:firstColumn="1" w:lastColumn="0" w:oddVBand="0" w:evenVBand="0" w:oddHBand="0" w:evenHBand="0" w:firstRowFirstColumn="0" w:firstRowLastColumn="0" w:lastRowFirstColumn="0" w:lastRowLastColumn="0"/>
            <w:tcW w:w="3150" w:type="dxa"/>
          </w:tcPr>
          <w:p w14:paraId="01C7496C" w14:textId="60EB668A" w:rsidR="002D5B28" w:rsidRPr="004A7A42" w:rsidRDefault="002D5B28" w:rsidP="0070677C">
            <w:pPr>
              <w:rPr>
                <w:sz w:val="24"/>
                <w:szCs w:val="24"/>
              </w:rPr>
            </w:pPr>
            <w:r w:rsidRPr="004A7A42">
              <w:rPr>
                <w:sz w:val="24"/>
                <w:szCs w:val="24"/>
              </w:rPr>
              <w:t>Rental Affordability</w:t>
            </w:r>
          </w:p>
        </w:tc>
        <w:tc>
          <w:tcPr>
            <w:tcW w:w="5130" w:type="dxa"/>
          </w:tcPr>
          <w:p w14:paraId="55587173" w14:textId="2602938E" w:rsidR="002D5B28" w:rsidRPr="004A7A42" w:rsidRDefault="002D5B28" w:rsidP="0070677C">
            <w:pPr>
              <w:cnfStyle w:val="000000100000" w:firstRow="0" w:lastRow="0" w:firstColumn="0" w:lastColumn="0" w:oddVBand="0" w:evenVBand="0" w:oddHBand="1" w:evenHBand="0" w:firstRowFirstColumn="0" w:firstRowLastColumn="0" w:lastRowFirstColumn="0" w:lastRowLastColumn="0"/>
              <w:rPr>
                <w:sz w:val="24"/>
                <w:szCs w:val="24"/>
              </w:rPr>
            </w:pPr>
            <w:r w:rsidRPr="004A7A42">
              <w:rPr>
                <w:sz w:val="24"/>
                <w:szCs w:val="24"/>
              </w:rPr>
              <w:t>38% of all renter households in 2019 spend more than 30% of their income on rent and utilities. Of those, 19% spent half of their income on housing.</w:t>
            </w:r>
          </w:p>
        </w:tc>
        <w:tc>
          <w:tcPr>
            <w:tcW w:w="2340" w:type="dxa"/>
          </w:tcPr>
          <w:p w14:paraId="3D0531FB" w14:textId="065CC68B" w:rsidR="002D5B28" w:rsidRPr="004A7A42" w:rsidRDefault="002D5B28" w:rsidP="0070677C">
            <w:pPr>
              <w:cnfStyle w:val="000000100000" w:firstRow="0" w:lastRow="0" w:firstColumn="0" w:lastColumn="0" w:oddVBand="0" w:evenVBand="0" w:oddHBand="1" w:evenHBand="0" w:firstRowFirstColumn="0" w:firstRowLastColumn="0" w:lastRowFirstColumn="0" w:lastRowLastColumn="0"/>
              <w:rPr>
                <w:sz w:val="24"/>
                <w:szCs w:val="24"/>
              </w:rPr>
            </w:pPr>
            <w:r w:rsidRPr="004A7A42">
              <w:rPr>
                <w:sz w:val="24"/>
                <w:szCs w:val="24"/>
              </w:rPr>
              <w:t>Housing Strategy for Queen Anne’s County (2021)</w:t>
            </w:r>
          </w:p>
        </w:tc>
      </w:tr>
      <w:tr w:rsidR="002D5B28" w:rsidRPr="004A7A42" w14:paraId="32B2E362" w14:textId="77777777" w:rsidTr="0070677C">
        <w:trPr>
          <w:trHeight w:val="1008"/>
          <w:jc w:val="center"/>
        </w:trPr>
        <w:tc>
          <w:tcPr>
            <w:cnfStyle w:val="001000000000" w:firstRow="0" w:lastRow="0" w:firstColumn="1" w:lastColumn="0" w:oddVBand="0" w:evenVBand="0" w:oddHBand="0" w:evenHBand="0" w:firstRowFirstColumn="0" w:firstRowLastColumn="0" w:lastRowFirstColumn="0" w:lastRowLastColumn="0"/>
            <w:tcW w:w="3150" w:type="dxa"/>
          </w:tcPr>
          <w:p w14:paraId="4522A4D0" w14:textId="3B0CADB9" w:rsidR="002D5B28" w:rsidRPr="004A7A42" w:rsidRDefault="002D5B28" w:rsidP="0070677C">
            <w:pPr>
              <w:rPr>
                <w:sz w:val="24"/>
                <w:szCs w:val="24"/>
              </w:rPr>
            </w:pPr>
            <w:r w:rsidRPr="004A7A42">
              <w:rPr>
                <w:sz w:val="24"/>
                <w:szCs w:val="24"/>
              </w:rPr>
              <w:t>Homeowner Affordability</w:t>
            </w:r>
          </w:p>
        </w:tc>
        <w:tc>
          <w:tcPr>
            <w:tcW w:w="5130" w:type="dxa"/>
          </w:tcPr>
          <w:p w14:paraId="7322C120" w14:textId="5F33DE2A" w:rsidR="002D5B28" w:rsidRPr="004A7A42" w:rsidRDefault="002D5B28" w:rsidP="0070677C">
            <w:pPr>
              <w:cnfStyle w:val="000000000000" w:firstRow="0" w:lastRow="0" w:firstColumn="0" w:lastColumn="0" w:oddVBand="0" w:evenVBand="0" w:oddHBand="0" w:evenHBand="0" w:firstRowFirstColumn="0" w:firstRowLastColumn="0" w:lastRowFirstColumn="0" w:lastRowLastColumn="0"/>
              <w:rPr>
                <w:sz w:val="24"/>
                <w:szCs w:val="24"/>
              </w:rPr>
            </w:pPr>
            <w:r w:rsidRPr="004A7A42">
              <w:rPr>
                <w:sz w:val="24"/>
                <w:szCs w:val="24"/>
              </w:rPr>
              <w:t xml:space="preserve">Almost 9% of all county homeowners spend more than half their income on housing. 42% of home buyers found it difficult or very difficult to find housing they could afford. </w:t>
            </w:r>
          </w:p>
          <w:p w14:paraId="5D198EAF" w14:textId="01173A43" w:rsidR="002D5B28" w:rsidRPr="004A7A42" w:rsidRDefault="002D5B28" w:rsidP="0070677C">
            <w:pPr>
              <w:cnfStyle w:val="000000000000" w:firstRow="0" w:lastRow="0" w:firstColumn="0" w:lastColumn="0" w:oddVBand="0" w:evenVBand="0" w:oddHBand="0" w:evenHBand="0" w:firstRowFirstColumn="0" w:firstRowLastColumn="0" w:lastRowFirstColumn="0" w:lastRowLastColumn="0"/>
              <w:rPr>
                <w:sz w:val="24"/>
                <w:szCs w:val="24"/>
              </w:rPr>
            </w:pPr>
            <w:r w:rsidRPr="004A7A42">
              <w:rPr>
                <w:sz w:val="24"/>
                <w:szCs w:val="24"/>
              </w:rPr>
              <w:t xml:space="preserve"> </w:t>
            </w:r>
          </w:p>
        </w:tc>
        <w:tc>
          <w:tcPr>
            <w:tcW w:w="2340" w:type="dxa"/>
          </w:tcPr>
          <w:p w14:paraId="3883C896" w14:textId="502D2C10" w:rsidR="002D5B28" w:rsidRPr="004A7A42" w:rsidRDefault="002D5B28" w:rsidP="0070677C">
            <w:pPr>
              <w:cnfStyle w:val="000000000000" w:firstRow="0" w:lastRow="0" w:firstColumn="0" w:lastColumn="0" w:oddVBand="0" w:evenVBand="0" w:oddHBand="0" w:evenHBand="0" w:firstRowFirstColumn="0" w:firstRowLastColumn="0" w:lastRowFirstColumn="0" w:lastRowLastColumn="0"/>
              <w:rPr>
                <w:sz w:val="24"/>
                <w:szCs w:val="24"/>
              </w:rPr>
            </w:pPr>
            <w:r w:rsidRPr="004A7A42">
              <w:rPr>
                <w:sz w:val="24"/>
                <w:szCs w:val="24"/>
              </w:rPr>
              <w:t>Housing Strategy for Queen Anne’s County (2021)</w:t>
            </w:r>
          </w:p>
        </w:tc>
      </w:tr>
      <w:tr w:rsidR="002D5B28" w:rsidRPr="004A7A42" w14:paraId="15E25D38" w14:textId="77777777" w:rsidTr="0070677C">
        <w:trPr>
          <w:cnfStyle w:val="000000100000" w:firstRow="0" w:lastRow="0" w:firstColumn="0" w:lastColumn="0" w:oddVBand="0" w:evenVBand="0" w:oddHBand="1" w:evenHBand="0" w:firstRowFirstColumn="0" w:firstRowLastColumn="0" w:lastRowFirstColumn="0" w:lastRowLastColumn="0"/>
          <w:trHeight w:val="1008"/>
          <w:jc w:val="center"/>
        </w:trPr>
        <w:tc>
          <w:tcPr>
            <w:cnfStyle w:val="001000000000" w:firstRow="0" w:lastRow="0" w:firstColumn="1" w:lastColumn="0" w:oddVBand="0" w:evenVBand="0" w:oddHBand="0" w:evenHBand="0" w:firstRowFirstColumn="0" w:firstRowLastColumn="0" w:lastRowFirstColumn="0" w:lastRowLastColumn="0"/>
            <w:tcW w:w="3150" w:type="dxa"/>
          </w:tcPr>
          <w:p w14:paraId="13C9E59F" w14:textId="43B4B3D1" w:rsidR="002D5B28" w:rsidRPr="004A7A42" w:rsidRDefault="002D5B28" w:rsidP="0070677C">
            <w:pPr>
              <w:rPr>
                <w:sz w:val="24"/>
                <w:szCs w:val="24"/>
              </w:rPr>
            </w:pPr>
            <w:r w:rsidRPr="004A7A42">
              <w:rPr>
                <w:sz w:val="24"/>
                <w:szCs w:val="24"/>
              </w:rPr>
              <w:t>Housing Supply</w:t>
            </w:r>
          </w:p>
        </w:tc>
        <w:tc>
          <w:tcPr>
            <w:tcW w:w="5130" w:type="dxa"/>
          </w:tcPr>
          <w:p w14:paraId="437AAF05" w14:textId="1BBB0F6D" w:rsidR="002D5B28" w:rsidRPr="004A7A42" w:rsidRDefault="002D5B28" w:rsidP="0070677C">
            <w:pPr>
              <w:cnfStyle w:val="000000100000" w:firstRow="0" w:lastRow="0" w:firstColumn="0" w:lastColumn="0" w:oddVBand="0" w:evenVBand="0" w:oddHBand="1" w:evenHBand="0" w:firstRowFirstColumn="0" w:firstRowLastColumn="0" w:lastRowFirstColumn="0" w:lastRowLastColumn="0"/>
              <w:rPr>
                <w:sz w:val="24"/>
                <w:szCs w:val="24"/>
              </w:rPr>
            </w:pPr>
            <w:r w:rsidRPr="004A7A42">
              <w:rPr>
                <w:sz w:val="24"/>
                <w:szCs w:val="24"/>
              </w:rPr>
              <w:t>Queen Anne’s County has the second lowest share of rental housing in Maryland.</w:t>
            </w:r>
          </w:p>
        </w:tc>
        <w:tc>
          <w:tcPr>
            <w:tcW w:w="2340" w:type="dxa"/>
          </w:tcPr>
          <w:p w14:paraId="54993DBD" w14:textId="75C5FD61" w:rsidR="002D5B28" w:rsidRPr="004A7A42" w:rsidRDefault="002D5B28" w:rsidP="0070677C">
            <w:pPr>
              <w:cnfStyle w:val="000000100000" w:firstRow="0" w:lastRow="0" w:firstColumn="0" w:lastColumn="0" w:oddVBand="0" w:evenVBand="0" w:oddHBand="1" w:evenHBand="0" w:firstRowFirstColumn="0" w:firstRowLastColumn="0" w:lastRowFirstColumn="0" w:lastRowLastColumn="0"/>
              <w:rPr>
                <w:sz w:val="24"/>
                <w:szCs w:val="24"/>
              </w:rPr>
            </w:pPr>
            <w:r w:rsidRPr="004A7A42">
              <w:rPr>
                <w:sz w:val="24"/>
                <w:szCs w:val="24"/>
              </w:rPr>
              <w:t>Housing Strategy for Queen Anne’s County (2021)</w:t>
            </w:r>
          </w:p>
        </w:tc>
      </w:tr>
      <w:tr w:rsidR="002D5B28" w:rsidRPr="004A7A42" w14:paraId="29394335" w14:textId="77777777" w:rsidTr="0070677C">
        <w:trPr>
          <w:trHeight w:val="1008"/>
          <w:jc w:val="center"/>
        </w:trPr>
        <w:tc>
          <w:tcPr>
            <w:cnfStyle w:val="001000000000" w:firstRow="0" w:lastRow="0" w:firstColumn="1" w:lastColumn="0" w:oddVBand="0" w:evenVBand="0" w:oddHBand="0" w:evenHBand="0" w:firstRowFirstColumn="0" w:firstRowLastColumn="0" w:lastRowFirstColumn="0" w:lastRowLastColumn="0"/>
            <w:tcW w:w="3150" w:type="dxa"/>
          </w:tcPr>
          <w:p w14:paraId="281EF3DA" w14:textId="3611460C" w:rsidR="002D5B28" w:rsidRPr="004A7A42" w:rsidRDefault="002D5B28" w:rsidP="0070677C">
            <w:pPr>
              <w:rPr>
                <w:sz w:val="24"/>
                <w:szCs w:val="24"/>
              </w:rPr>
            </w:pPr>
            <w:r w:rsidRPr="004A7A42">
              <w:rPr>
                <w:sz w:val="24"/>
                <w:szCs w:val="24"/>
              </w:rPr>
              <w:t>Housing Assistance</w:t>
            </w:r>
          </w:p>
        </w:tc>
        <w:tc>
          <w:tcPr>
            <w:tcW w:w="5130" w:type="dxa"/>
          </w:tcPr>
          <w:p w14:paraId="467DC91D" w14:textId="5B3188EC" w:rsidR="002D5B28" w:rsidRPr="004A7A42" w:rsidRDefault="002D5B28" w:rsidP="0070677C">
            <w:pPr>
              <w:cnfStyle w:val="000000000000" w:firstRow="0" w:lastRow="0" w:firstColumn="0" w:lastColumn="0" w:oddVBand="0" w:evenVBand="0" w:oddHBand="0" w:evenHBand="0" w:firstRowFirstColumn="0" w:firstRowLastColumn="0" w:lastRowFirstColumn="0" w:lastRowLastColumn="0"/>
              <w:rPr>
                <w:sz w:val="24"/>
                <w:szCs w:val="24"/>
              </w:rPr>
            </w:pPr>
            <w:r w:rsidRPr="004A7A42">
              <w:rPr>
                <w:sz w:val="24"/>
                <w:szCs w:val="24"/>
              </w:rPr>
              <w:t xml:space="preserve">The Housing Choice Voucher Program currently serves </w:t>
            </w:r>
            <w:r w:rsidR="00CB3446" w:rsidRPr="004A7A42">
              <w:rPr>
                <w:sz w:val="24"/>
                <w:szCs w:val="24"/>
              </w:rPr>
              <w:t>169</w:t>
            </w:r>
            <w:r w:rsidRPr="004A7A42">
              <w:rPr>
                <w:sz w:val="24"/>
                <w:szCs w:val="24"/>
              </w:rPr>
              <w:t xml:space="preserve"> households while maintaining a waiting list of </w:t>
            </w:r>
            <w:r w:rsidR="00CB3446" w:rsidRPr="004A7A42">
              <w:rPr>
                <w:sz w:val="24"/>
                <w:szCs w:val="24"/>
              </w:rPr>
              <w:t>300</w:t>
            </w:r>
            <w:r w:rsidRPr="004A7A42">
              <w:rPr>
                <w:sz w:val="24"/>
                <w:szCs w:val="24"/>
              </w:rPr>
              <w:t xml:space="preserve"> households.</w:t>
            </w:r>
          </w:p>
        </w:tc>
        <w:tc>
          <w:tcPr>
            <w:tcW w:w="2340" w:type="dxa"/>
          </w:tcPr>
          <w:p w14:paraId="62992BFC" w14:textId="0953902B" w:rsidR="002D5B28" w:rsidRPr="004A7A42" w:rsidRDefault="002D5B28" w:rsidP="0070677C">
            <w:pPr>
              <w:cnfStyle w:val="000000000000" w:firstRow="0" w:lastRow="0" w:firstColumn="0" w:lastColumn="0" w:oddVBand="0" w:evenVBand="0" w:oddHBand="0" w:evenHBand="0" w:firstRowFirstColumn="0" w:firstRowLastColumn="0" w:lastRowFirstColumn="0" w:lastRowLastColumn="0"/>
              <w:rPr>
                <w:sz w:val="24"/>
                <w:szCs w:val="24"/>
              </w:rPr>
            </w:pPr>
            <w:r w:rsidRPr="004A7A42">
              <w:rPr>
                <w:sz w:val="24"/>
                <w:szCs w:val="24"/>
              </w:rPr>
              <w:t>Queen Anne’s County Housing Authority (September 2025)</w:t>
            </w:r>
          </w:p>
        </w:tc>
      </w:tr>
    </w:tbl>
    <w:p w14:paraId="00B0E9A9" w14:textId="709D1D5C" w:rsidR="002D5B28" w:rsidRDefault="00180575" w:rsidP="00180575">
      <w:pPr>
        <w:pStyle w:val="Heading2"/>
        <w:rPr>
          <w:sz w:val="26"/>
          <w:szCs w:val="26"/>
        </w:rPr>
      </w:pPr>
      <w:r>
        <w:rPr>
          <w:sz w:val="26"/>
          <w:szCs w:val="26"/>
        </w:rPr>
        <w:t xml:space="preserve">Priority 3: Economic Opportunity and Entrepreneurship </w:t>
      </w:r>
    </w:p>
    <w:p w14:paraId="0CC7DE68" w14:textId="77777777" w:rsidR="00180575" w:rsidRPr="004A7A42" w:rsidRDefault="00180575" w:rsidP="00180575">
      <w:pPr>
        <w:rPr>
          <w:sz w:val="24"/>
          <w:szCs w:val="24"/>
        </w:rPr>
      </w:pPr>
      <w:r w:rsidRPr="004A7A42">
        <w:rPr>
          <w:sz w:val="24"/>
          <w:szCs w:val="24"/>
        </w:rPr>
        <w:t>Economic stability is one of the five Social Determinants of Health identified by the Centers for Disease Control and Prevention (CDC). According to the CDC, economic stability influences an individual’s ability to meet basic needs and is closely associated with health outcomes, educational attainment, housing security, and overall quality of life.</w:t>
      </w:r>
      <w:r w:rsidRPr="004A7A42">
        <w:rPr>
          <w:rStyle w:val="FootnoteReference"/>
          <w:sz w:val="24"/>
          <w:szCs w:val="24"/>
        </w:rPr>
        <w:footnoteReference w:id="2"/>
      </w:r>
      <w:r w:rsidRPr="004A7A42">
        <w:rPr>
          <w:sz w:val="24"/>
          <w:szCs w:val="24"/>
        </w:rPr>
        <w:t xml:space="preserve"> Specific factors that contribute to healthier individuals, stronger families, and more resilient communities include stable employment, adequate income, and opportunities for economic advancement. </w:t>
      </w:r>
    </w:p>
    <w:p w14:paraId="6AABE643" w14:textId="77777777" w:rsidR="00180575" w:rsidRPr="004A7A42" w:rsidRDefault="00180575" w:rsidP="00180575">
      <w:pPr>
        <w:rPr>
          <w:sz w:val="24"/>
          <w:szCs w:val="24"/>
        </w:rPr>
      </w:pPr>
      <w:r w:rsidRPr="004A7A42">
        <w:rPr>
          <w:sz w:val="24"/>
          <w:szCs w:val="24"/>
        </w:rPr>
        <w:t xml:space="preserve">The Queen Anne’s County Department of Economic and Tourism Development and the Local Management Board have independently identified economic opportunity as a shared community priority through their respective planning and community engagement efforts. Both organizations engaged residents and community partners to better understand local barriers to economic stability and opportunities for growth. Community feedback </w:t>
      </w:r>
      <w:r w:rsidRPr="004A7A42">
        <w:rPr>
          <w:sz w:val="24"/>
          <w:szCs w:val="24"/>
        </w:rPr>
        <w:lastRenderedPageBreak/>
        <w:t>consistently centered on workforce</w:t>
      </w:r>
      <w:r>
        <w:t xml:space="preserve"> </w:t>
      </w:r>
      <w:r w:rsidRPr="004A7A42">
        <w:rPr>
          <w:sz w:val="24"/>
          <w:szCs w:val="24"/>
        </w:rPr>
        <w:t>development, career exploration, entrepreneurship, and access to small business resources as important strategies for strengthening families and the community. The consistency of these findings across multiple planning efforts reinforces Economic Opportunity and Entrepreneurship as a priority for CRRF investment.</w:t>
      </w:r>
    </w:p>
    <w:p w14:paraId="5FAD982A" w14:textId="77777777" w:rsidR="00180575" w:rsidRPr="004A7A42" w:rsidRDefault="00180575" w:rsidP="00180575">
      <w:pPr>
        <w:rPr>
          <w:sz w:val="24"/>
          <w:szCs w:val="24"/>
        </w:rPr>
      </w:pPr>
      <w:r w:rsidRPr="004A7A42">
        <w:rPr>
          <w:sz w:val="24"/>
          <w:szCs w:val="24"/>
        </w:rPr>
        <w:t xml:space="preserve">National research and local planning efforts consistently demonstrate that expanding economic opportunities strengthens families, promotes long-term financial stability, and contributes to healthier, more resilient communities. To advance this priority, the County invests CRRF funds in the Minority Entrepreneur Training Accelerator (META) Program. The program expands access to entrepreneurship training, technical assistance, and business development resources for historically underserved populations. The table below summarizes the assessment findings supporting this priority. </w:t>
      </w:r>
    </w:p>
    <w:p w14:paraId="210D80A9" w14:textId="77777777" w:rsidR="00BC4525" w:rsidRPr="004A7A42" w:rsidRDefault="00BC4525" w:rsidP="00180575">
      <w:pPr>
        <w:rPr>
          <w:sz w:val="24"/>
          <w:szCs w:val="24"/>
        </w:rPr>
      </w:pPr>
    </w:p>
    <w:tbl>
      <w:tblPr>
        <w:tblStyle w:val="PlainTable2"/>
        <w:tblW w:w="10620" w:type="dxa"/>
        <w:jc w:val="center"/>
        <w:tblLook w:val="04A0" w:firstRow="1" w:lastRow="0" w:firstColumn="1" w:lastColumn="0" w:noHBand="0" w:noVBand="1"/>
      </w:tblPr>
      <w:tblGrid>
        <w:gridCol w:w="3150"/>
        <w:gridCol w:w="5130"/>
        <w:gridCol w:w="2340"/>
      </w:tblGrid>
      <w:tr w:rsidR="00180575" w:rsidRPr="004A7A42" w14:paraId="53299068" w14:textId="77777777" w:rsidTr="00230AA8">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3150" w:type="dxa"/>
          </w:tcPr>
          <w:p w14:paraId="21B37ED1" w14:textId="77777777" w:rsidR="00180575" w:rsidRPr="004A7A42" w:rsidRDefault="00180575" w:rsidP="00230AA8">
            <w:pPr>
              <w:rPr>
                <w:b w:val="0"/>
                <w:bCs w:val="0"/>
                <w:sz w:val="24"/>
                <w:szCs w:val="24"/>
              </w:rPr>
            </w:pPr>
            <w:r w:rsidRPr="004A7A42">
              <w:rPr>
                <w:sz w:val="24"/>
                <w:szCs w:val="24"/>
              </w:rPr>
              <w:t>Assessment Indicator</w:t>
            </w:r>
          </w:p>
        </w:tc>
        <w:tc>
          <w:tcPr>
            <w:tcW w:w="5130" w:type="dxa"/>
          </w:tcPr>
          <w:p w14:paraId="7E14DF8E" w14:textId="77777777" w:rsidR="00180575" w:rsidRPr="004A7A42" w:rsidRDefault="00180575" w:rsidP="00230AA8">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4A7A42">
              <w:rPr>
                <w:sz w:val="24"/>
                <w:szCs w:val="24"/>
              </w:rPr>
              <w:t>Current Finding</w:t>
            </w:r>
          </w:p>
        </w:tc>
        <w:tc>
          <w:tcPr>
            <w:tcW w:w="2340" w:type="dxa"/>
          </w:tcPr>
          <w:p w14:paraId="01D13D4E" w14:textId="77777777" w:rsidR="00180575" w:rsidRPr="004A7A42" w:rsidRDefault="00180575" w:rsidP="00230AA8">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4A7A42">
              <w:rPr>
                <w:sz w:val="24"/>
                <w:szCs w:val="24"/>
              </w:rPr>
              <w:t>Source</w:t>
            </w:r>
          </w:p>
        </w:tc>
      </w:tr>
      <w:tr w:rsidR="00180575" w:rsidRPr="004A7A42" w14:paraId="3B8152A8" w14:textId="77777777" w:rsidTr="00230AA8">
        <w:trPr>
          <w:cnfStyle w:val="000000100000" w:firstRow="0" w:lastRow="0" w:firstColumn="0" w:lastColumn="0" w:oddVBand="0" w:evenVBand="0" w:oddHBand="1" w:evenHBand="0" w:firstRowFirstColumn="0" w:firstRowLastColumn="0" w:lastRowFirstColumn="0" w:lastRowLastColumn="0"/>
          <w:trHeight w:val="1008"/>
          <w:jc w:val="center"/>
        </w:trPr>
        <w:tc>
          <w:tcPr>
            <w:cnfStyle w:val="001000000000" w:firstRow="0" w:lastRow="0" w:firstColumn="1" w:lastColumn="0" w:oddVBand="0" w:evenVBand="0" w:oddHBand="0" w:evenHBand="0" w:firstRowFirstColumn="0" w:firstRowLastColumn="0" w:lastRowFirstColumn="0" w:lastRowLastColumn="0"/>
            <w:tcW w:w="3150" w:type="dxa"/>
          </w:tcPr>
          <w:p w14:paraId="7C95D307" w14:textId="77777777" w:rsidR="00180575" w:rsidRPr="004A7A42" w:rsidRDefault="00180575" w:rsidP="00230AA8">
            <w:pPr>
              <w:rPr>
                <w:sz w:val="24"/>
                <w:szCs w:val="24"/>
              </w:rPr>
            </w:pPr>
            <w:r w:rsidRPr="004A7A42">
              <w:rPr>
                <w:sz w:val="24"/>
                <w:szCs w:val="24"/>
              </w:rPr>
              <w:t>County Needs Assessment</w:t>
            </w:r>
          </w:p>
        </w:tc>
        <w:tc>
          <w:tcPr>
            <w:tcW w:w="5130" w:type="dxa"/>
          </w:tcPr>
          <w:p w14:paraId="1ACD9DF2" w14:textId="77777777" w:rsidR="00180575" w:rsidRPr="004A7A42" w:rsidRDefault="00180575" w:rsidP="00230AA8">
            <w:pPr>
              <w:cnfStyle w:val="000000100000" w:firstRow="0" w:lastRow="0" w:firstColumn="0" w:lastColumn="0" w:oddVBand="0" w:evenVBand="0" w:oddHBand="1" w:evenHBand="0" w:firstRowFirstColumn="0" w:firstRowLastColumn="0" w:lastRowFirstColumn="0" w:lastRowLastColumn="0"/>
              <w:rPr>
                <w:sz w:val="24"/>
                <w:szCs w:val="24"/>
              </w:rPr>
            </w:pPr>
            <w:r w:rsidRPr="004A7A42">
              <w:rPr>
                <w:sz w:val="24"/>
                <w:szCs w:val="24"/>
              </w:rPr>
              <w:t>Identified workforce development, career readiness, and economic stability as community priorities through 608 resident surveys, 73 key informant interviews, and 14 focus groups.</w:t>
            </w:r>
          </w:p>
        </w:tc>
        <w:tc>
          <w:tcPr>
            <w:tcW w:w="2340" w:type="dxa"/>
          </w:tcPr>
          <w:p w14:paraId="5D30FDB1" w14:textId="77777777" w:rsidR="00180575" w:rsidRPr="004A7A42" w:rsidRDefault="00180575" w:rsidP="00230AA8">
            <w:pPr>
              <w:cnfStyle w:val="000000100000" w:firstRow="0" w:lastRow="0" w:firstColumn="0" w:lastColumn="0" w:oddVBand="0" w:evenVBand="0" w:oddHBand="1" w:evenHBand="0" w:firstRowFirstColumn="0" w:firstRowLastColumn="0" w:lastRowFirstColumn="0" w:lastRowLastColumn="0"/>
              <w:rPr>
                <w:sz w:val="24"/>
                <w:szCs w:val="24"/>
              </w:rPr>
            </w:pPr>
            <w:r w:rsidRPr="004A7A42">
              <w:rPr>
                <w:sz w:val="24"/>
                <w:szCs w:val="24"/>
              </w:rPr>
              <w:t>2022 LMB Needs Assessment</w:t>
            </w:r>
          </w:p>
        </w:tc>
      </w:tr>
      <w:tr w:rsidR="00180575" w:rsidRPr="004A7A42" w14:paraId="19995907" w14:textId="77777777" w:rsidTr="00230AA8">
        <w:trPr>
          <w:trHeight w:val="1008"/>
          <w:jc w:val="center"/>
        </w:trPr>
        <w:tc>
          <w:tcPr>
            <w:cnfStyle w:val="001000000000" w:firstRow="0" w:lastRow="0" w:firstColumn="1" w:lastColumn="0" w:oddVBand="0" w:evenVBand="0" w:oddHBand="0" w:evenHBand="0" w:firstRowFirstColumn="0" w:firstRowLastColumn="0" w:lastRowFirstColumn="0" w:lastRowLastColumn="0"/>
            <w:tcW w:w="3150" w:type="dxa"/>
          </w:tcPr>
          <w:p w14:paraId="6B4CCB53" w14:textId="77777777" w:rsidR="00180575" w:rsidRPr="004A7A42" w:rsidRDefault="00180575" w:rsidP="00230AA8">
            <w:pPr>
              <w:rPr>
                <w:sz w:val="24"/>
                <w:szCs w:val="24"/>
              </w:rPr>
            </w:pPr>
            <w:r w:rsidRPr="004A7A42">
              <w:rPr>
                <w:sz w:val="24"/>
                <w:szCs w:val="24"/>
              </w:rPr>
              <w:t>Community Input</w:t>
            </w:r>
          </w:p>
        </w:tc>
        <w:tc>
          <w:tcPr>
            <w:tcW w:w="5130" w:type="dxa"/>
          </w:tcPr>
          <w:p w14:paraId="7C211640" w14:textId="77777777" w:rsidR="00180575" w:rsidRPr="004A7A42" w:rsidRDefault="00180575" w:rsidP="00230AA8">
            <w:pPr>
              <w:cnfStyle w:val="000000000000" w:firstRow="0" w:lastRow="0" w:firstColumn="0" w:lastColumn="0" w:oddVBand="0" w:evenVBand="0" w:oddHBand="0" w:evenHBand="0" w:firstRowFirstColumn="0" w:firstRowLastColumn="0" w:lastRowFirstColumn="0" w:lastRowLastColumn="0"/>
              <w:rPr>
                <w:sz w:val="24"/>
                <w:szCs w:val="24"/>
              </w:rPr>
            </w:pPr>
            <w:r w:rsidRPr="004A7A42">
              <w:rPr>
                <w:sz w:val="24"/>
                <w:szCs w:val="24"/>
              </w:rPr>
              <w:t>Residents identified workforce development, career pathways, entrepreneurship, and financial literacy as recurring priorities.</w:t>
            </w:r>
          </w:p>
        </w:tc>
        <w:tc>
          <w:tcPr>
            <w:tcW w:w="2340" w:type="dxa"/>
          </w:tcPr>
          <w:p w14:paraId="1C5F930F" w14:textId="77777777" w:rsidR="00180575" w:rsidRPr="004A7A42" w:rsidRDefault="00180575" w:rsidP="00230AA8">
            <w:pPr>
              <w:cnfStyle w:val="000000000000" w:firstRow="0" w:lastRow="0" w:firstColumn="0" w:lastColumn="0" w:oddVBand="0" w:evenVBand="0" w:oddHBand="0" w:evenHBand="0" w:firstRowFirstColumn="0" w:firstRowLastColumn="0" w:lastRowFirstColumn="0" w:lastRowLastColumn="0"/>
              <w:rPr>
                <w:sz w:val="24"/>
                <w:szCs w:val="24"/>
              </w:rPr>
            </w:pPr>
            <w:r w:rsidRPr="004A7A42">
              <w:rPr>
                <w:sz w:val="24"/>
                <w:szCs w:val="24"/>
              </w:rPr>
              <w:t>2026 Community Conversations</w:t>
            </w:r>
          </w:p>
        </w:tc>
      </w:tr>
      <w:tr w:rsidR="00180575" w:rsidRPr="004A7A42" w14:paraId="564AFBC2" w14:textId="77777777" w:rsidTr="00230AA8">
        <w:trPr>
          <w:cnfStyle w:val="000000100000" w:firstRow="0" w:lastRow="0" w:firstColumn="0" w:lastColumn="0" w:oddVBand="0" w:evenVBand="0" w:oddHBand="1" w:evenHBand="0" w:firstRowFirstColumn="0" w:firstRowLastColumn="0" w:lastRowFirstColumn="0" w:lastRowLastColumn="0"/>
          <w:trHeight w:val="1008"/>
          <w:jc w:val="center"/>
        </w:trPr>
        <w:tc>
          <w:tcPr>
            <w:cnfStyle w:val="001000000000" w:firstRow="0" w:lastRow="0" w:firstColumn="1" w:lastColumn="0" w:oddVBand="0" w:evenVBand="0" w:oddHBand="0" w:evenHBand="0" w:firstRowFirstColumn="0" w:firstRowLastColumn="0" w:lastRowFirstColumn="0" w:lastRowLastColumn="0"/>
            <w:tcW w:w="3150" w:type="dxa"/>
          </w:tcPr>
          <w:p w14:paraId="2AF92C53" w14:textId="77777777" w:rsidR="00180575" w:rsidRPr="004A7A42" w:rsidRDefault="00180575" w:rsidP="00230AA8">
            <w:pPr>
              <w:rPr>
                <w:sz w:val="24"/>
                <w:szCs w:val="24"/>
              </w:rPr>
            </w:pPr>
            <w:r w:rsidRPr="004A7A42">
              <w:rPr>
                <w:sz w:val="24"/>
                <w:szCs w:val="24"/>
              </w:rPr>
              <w:t>Local Planning</w:t>
            </w:r>
          </w:p>
        </w:tc>
        <w:tc>
          <w:tcPr>
            <w:tcW w:w="5130" w:type="dxa"/>
          </w:tcPr>
          <w:p w14:paraId="34262A45" w14:textId="77777777" w:rsidR="00180575" w:rsidRPr="004A7A42" w:rsidRDefault="00180575" w:rsidP="00230AA8">
            <w:pPr>
              <w:cnfStyle w:val="000000100000" w:firstRow="0" w:lastRow="0" w:firstColumn="0" w:lastColumn="0" w:oddVBand="0" w:evenVBand="0" w:oddHBand="1" w:evenHBand="0" w:firstRowFirstColumn="0" w:firstRowLastColumn="0" w:lastRowFirstColumn="0" w:lastRowLastColumn="0"/>
              <w:rPr>
                <w:sz w:val="24"/>
                <w:szCs w:val="24"/>
              </w:rPr>
            </w:pPr>
            <w:r w:rsidRPr="004A7A42">
              <w:rPr>
                <w:sz w:val="24"/>
                <w:szCs w:val="24"/>
              </w:rPr>
              <w:t>Economic opportunity and entrepreneurship were identified as shared priorities through local economic development planning efforts.</w:t>
            </w:r>
          </w:p>
        </w:tc>
        <w:tc>
          <w:tcPr>
            <w:tcW w:w="2340" w:type="dxa"/>
          </w:tcPr>
          <w:p w14:paraId="373062CC" w14:textId="77777777" w:rsidR="00180575" w:rsidRPr="004A7A42" w:rsidRDefault="00180575" w:rsidP="00230AA8">
            <w:pPr>
              <w:cnfStyle w:val="000000100000" w:firstRow="0" w:lastRow="0" w:firstColumn="0" w:lastColumn="0" w:oddVBand="0" w:evenVBand="0" w:oddHBand="1" w:evenHBand="0" w:firstRowFirstColumn="0" w:firstRowLastColumn="0" w:lastRowFirstColumn="0" w:lastRowLastColumn="0"/>
              <w:rPr>
                <w:sz w:val="24"/>
                <w:szCs w:val="24"/>
              </w:rPr>
            </w:pPr>
            <w:r w:rsidRPr="004A7A42">
              <w:rPr>
                <w:sz w:val="24"/>
                <w:szCs w:val="24"/>
              </w:rPr>
              <w:t>Sudlersville Economic Development Strategy</w:t>
            </w:r>
          </w:p>
        </w:tc>
      </w:tr>
      <w:tr w:rsidR="00180575" w:rsidRPr="004A7A42" w14:paraId="3D6684E7" w14:textId="77777777" w:rsidTr="00230AA8">
        <w:trPr>
          <w:trHeight w:val="1008"/>
          <w:jc w:val="center"/>
        </w:trPr>
        <w:tc>
          <w:tcPr>
            <w:cnfStyle w:val="001000000000" w:firstRow="0" w:lastRow="0" w:firstColumn="1" w:lastColumn="0" w:oddVBand="0" w:evenVBand="0" w:oddHBand="0" w:evenHBand="0" w:firstRowFirstColumn="0" w:firstRowLastColumn="0" w:lastRowFirstColumn="0" w:lastRowLastColumn="0"/>
            <w:tcW w:w="3150" w:type="dxa"/>
          </w:tcPr>
          <w:p w14:paraId="15A91E8A" w14:textId="77777777" w:rsidR="00180575" w:rsidRPr="004A7A42" w:rsidRDefault="00180575" w:rsidP="00230AA8">
            <w:pPr>
              <w:rPr>
                <w:sz w:val="24"/>
                <w:szCs w:val="24"/>
              </w:rPr>
            </w:pPr>
            <w:r w:rsidRPr="004A7A42">
              <w:rPr>
                <w:sz w:val="24"/>
                <w:szCs w:val="24"/>
              </w:rPr>
              <w:t>Priority Area</w:t>
            </w:r>
          </w:p>
        </w:tc>
        <w:tc>
          <w:tcPr>
            <w:tcW w:w="5130" w:type="dxa"/>
          </w:tcPr>
          <w:p w14:paraId="14055E8A" w14:textId="77777777" w:rsidR="00180575" w:rsidRPr="004A7A42" w:rsidRDefault="00180575" w:rsidP="00230AA8">
            <w:pPr>
              <w:cnfStyle w:val="000000000000" w:firstRow="0" w:lastRow="0" w:firstColumn="0" w:lastColumn="0" w:oddVBand="0" w:evenVBand="0" w:oddHBand="0" w:evenHBand="0" w:firstRowFirstColumn="0" w:firstRowLastColumn="0" w:lastRowFirstColumn="0" w:lastRowLastColumn="0"/>
              <w:rPr>
                <w:sz w:val="24"/>
                <w:szCs w:val="24"/>
              </w:rPr>
            </w:pPr>
            <w:r w:rsidRPr="004A7A42">
              <w:rPr>
                <w:sz w:val="24"/>
                <w:szCs w:val="24"/>
              </w:rPr>
              <w:t>The priority area experiences higher childhood poverty (40.9%) and lower household incomes than the county overall.</w:t>
            </w:r>
          </w:p>
        </w:tc>
        <w:tc>
          <w:tcPr>
            <w:tcW w:w="2340" w:type="dxa"/>
          </w:tcPr>
          <w:p w14:paraId="2D0895C5" w14:textId="77777777" w:rsidR="00180575" w:rsidRPr="004A7A42" w:rsidRDefault="00180575" w:rsidP="00230AA8">
            <w:pPr>
              <w:cnfStyle w:val="000000000000" w:firstRow="0" w:lastRow="0" w:firstColumn="0" w:lastColumn="0" w:oddVBand="0" w:evenVBand="0" w:oddHBand="0" w:evenHBand="0" w:firstRowFirstColumn="0" w:firstRowLastColumn="0" w:lastRowFirstColumn="0" w:lastRowLastColumn="0"/>
              <w:rPr>
                <w:sz w:val="24"/>
                <w:szCs w:val="24"/>
              </w:rPr>
            </w:pPr>
            <w:r w:rsidRPr="004A7A42">
              <w:rPr>
                <w:sz w:val="24"/>
                <w:szCs w:val="24"/>
              </w:rPr>
              <w:t>2026 Sudlersville Data Analysis</w:t>
            </w:r>
          </w:p>
        </w:tc>
      </w:tr>
    </w:tbl>
    <w:p w14:paraId="7AAE538A" w14:textId="77777777" w:rsidR="00180575" w:rsidRPr="00180575" w:rsidRDefault="00180575" w:rsidP="00180575"/>
    <w:p w14:paraId="4822304E" w14:textId="5853A0CB" w:rsidR="00CB3446" w:rsidRDefault="00CB3446" w:rsidP="00CB3446">
      <w:pPr>
        <w:pStyle w:val="Heading2"/>
        <w:rPr>
          <w:sz w:val="26"/>
          <w:szCs w:val="26"/>
        </w:rPr>
      </w:pPr>
      <w:r>
        <w:rPr>
          <w:sz w:val="26"/>
          <w:szCs w:val="26"/>
        </w:rPr>
        <w:t>Priority 4: Emerging and Changing Community Needs</w:t>
      </w:r>
    </w:p>
    <w:p w14:paraId="5C3584EC" w14:textId="6F61824C" w:rsidR="00CB3446" w:rsidRPr="004A7A42" w:rsidRDefault="000B5497" w:rsidP="00CB3446">
      <w:pPr>
        <w:rPr>
          <w:sz w:val="24"/>
          <w:szCs w:val="24"/>
        </w:rPr>
      </w:pPr>
      <w:r w:rsidRPr="004A7A42">
        <w:rPr>
          <w:sz w:val="24"/>
          <w:szCs w:val="24"/>
        </w:rPr>
        <w:t>The Ad-Hoc Grant Opportunities funding strategy provides one-time funding for identified community needs that are consistent with the purpose of the CRRF but are not addressed through the County’s other established funding strategies. Ad-hoc awards are intended for limited-term activities or expenses and do not create an expectation of ongoing CRRF support.</w:t>
      </w:r>
    </w:p>
    <w:p w14:paraId="7F689022" w14:textId="39A9B466" w:rsidR="000B5497" w:rsidRPr="004A7A42" w:rsidRDefault="000B5497" w:rsidP="00CB3446">
      <w:pPr>
        <w:rPr>
          <w:sz w:val="24"/>
          <w:szCs w:val="24"/>
        </w:rPr>
      </w:pPr>
      <w:r w:rsidRPr="004A7A42">
        <w:rPr>
          <w:sz w:val="24"/>
          <w:szCs w:val="24"/>
        </w:rPr>
        <w:lastRenderedPageBreak/>
        <w:t xml:space="preserve">Funding decisions will be based on the documented need, the proposed use of funds, community benefit, availability of other resources, and alignment with CRRF requirements and County priorities. Ad-hoc funding may support a discrete project, time limited activity, immediate community need, or other one-time investment that advances community well-being. </w:t>
      </w:r>
    </w:p>
    <w:p w14:paraId="18BC9FBF" w14:textId="77E96F29" w:rsidR="00A25993" w:rsidRDefault="00A25993" w:rsidP="00A25993">
      <w:pPr>
        <w:pStyle w:val="Heading1"/>
        <w:rPr>
          <w:sz w:val="32"/>
          <w:szCs w:val="32"/>
        </w:rPr>
      </w:pPr>
      <w:r w:rsidRPr="00E64537">
        <w:rPr>
          <w:sz w:val="32"/>
          <w:szCs w:val="32"/>
        </w:rPr>
        <w:t>Community Engagement Strategy</w:t>
      </w:r>
    </w:p>
    <w:p w14:paraId="22B457B3" w14:textId="7A6C1526" w:rsidR="00ED24BF" w:rsidRPr="004A7A42" w:rsidRDefault="00763BC0" w:rsidP="00A25993">
      <w:pPr>
        <w:rPr>
          <w:sz w:val="24"/>
          <w:szCs w:val="24"/>
        </w:rPr>
      </w:pPr>
      <w:r w:rsidRPr="004A7A42">
        <w:rPr>
          <w:sz w:val="24"/>
          <w:szCs w:val="24"/>
        </w:rPr>
        <w:t>The CRRC will build on existing community engagement strategies, local initiatives, planning processes, and partner relationships to develop a fuller understanding of community conditions. This approach allows the CRRC to consider information gathered across multiple settings rather than relying only on participation in formal public meetings. It also helps ensure that CRRF funding decisions are coordinated with other public and private investments.</w:t>
      </w:r>
    </w:p>
    <w:p w14:paraId="4C2B6ADA" w14:textId="6D27CD3A" w:rsidR="00763BC0" w:rsidRPr="004A7A42" w:rsidRDefault="00763BC0" w:rsidP="00A25993">
      <w:pPr>
        <w:rPr>
          <w:sz w:val="24"/>
          <w:szCs w:val="24"/>
        </w:rPr>
      </w:pPr>
      <w:r w:rsidRPr="004A7A42">
        <w:rPr>
          <w:sz w:val="24"/>
          <w:szCs w:val="24"/>
        </w:rPr>
        <w:t xml:space="preserve">As part of the development and comprehensive review of the Distribution Plan, the CRRC will seek input from residents of identified low-income communities. Outreach will be conducted through a combination of direct engagement and partnerships with organizations that have established relationships within those communities. The specific methods and locations will be selected based on the community, barriers to participation, and the information needed to support CRRF funding decisions. The CRRC may also draw from the LMB’s community-wide needs assessment and other County planning and engagement efforts. Existing activities may be supplemented by CRRF-specific outreach when additional input is needed to inform the Distribution Plan. </w:t>
      </w:r>
    </w:p>
    <w:p w14:paraId="2F87C2D7" w14:textId="10F8E940" w:rsidR="00763BC0" w:rsidRPr="004A7A42" w:rsidRDefault="00763BC0" w:rsidP="00A25993">
      <w:pPr>
        <w:rPr>
          <w:sz w:val="24"/>
          <w:szCs w:val="24"/>
        </w:rPr>
      </w:pPr>
      <w:r w:rsidRPr="004A7A42">
        <w:rPr>
          <w:sz w:val="24"/>
          <w:szCs w:val="24"/>
        </w:rPr>
        <w:t>The CRRC will coordinate with the Department of Housing and Family Services,</w:t>
      </w:r>
      <w:r w:rsidR="00022371" w:rsidRPr="004A7A42">
        <w:rPr>
          <w:sz w:val="24"/>
          <w:szCs w:val="24"/>
        </w:rPr>
        <w:t xml:space="preserve"> the Department of Social Services,</w:t>
      </w:r>
      <w:r w:rsidRPr="004A7A42">
        <w:rPr>
          <w:sz w:val="24"/>
          <w:szCs w:val="24"/>
        </w:rPr>
        <w:t xml:space="preserve"> the Department of Economic and Tourism Development, schools, community-based organizations, and trusted partners. These organizations can contribute data, service knowledge, and direct experience with the needs and barriers affecting county residents. They can also help reach residents who may not participate in formal public processes. </w:t>
      </w:r>
    </w:p>
    <w:p w14:paraId="356A8550" w14:textId="051E1A63" w:rsidR="00412E57" w:rsidRPr="004A7A42" w:rsidRDefault="00412E57" w:rsidP="00A25993">
      <w:pPr>
        <w:rPr>
          <w:sz w:val="24"/>
          <w:szCs w:val="24"/>
        </w:rPr>
      </w:pPr>
      <w:r w:rsidRPr="004A7A42">
        <w:rPr>
          <w:sz w:val="24"/>
          <w:szCs w:val="24"/>
        </w:rPr>
        <w:t xml:space="preserve">Community input, partner knowledge, quantitative data, local planning documents, and program outcomes will collectively inform CRRC decisions. A comprehensive review of the Distribution Plan will occur in alignment with the LMB’s five-year community needs assessment cycle. As part of that review, the CRRC will provide an opportunity for public comment and hold a public hearing before adopting significant updates. </w:t>
      </w:r>
    </w:p>
    <w:p w14:paraId="30C15346" w14:textId="164B136F" w:rsidR="00412E57" w:rsidRDefault="00412E57" w:rsidP="00412E57">
      <w:pPr>
        <w:pStyle w:val="Heading1"/>
        <w:rPr>
          <w:sz w:val="32"/>
          <w:szCs w:val="32"/>
        </w:rPr>
      </w:pPr>
      <w:r>
        <w:rPr>
          <w:sz w:val="32"/>
          <w:szCs w:val="32"/>
        </w:rPr>
        <w:lastRenderedPageBreak/>
        <w:t>Distribution Plan</w:t>
      </w:r>
    </w:p>
    <w:p w14:paraId="02A3F61D" w14:textId="7E7A1E97" w:rsidR="00BD5B57" w:rsidRPr="004A7A42" w:rsidRDefault="00012C13" w:rsidP="0034790A">
      <w:pPr>
        <w:rPr>
          <w:sz w:val="24"/>
          <w:szCs w:val="24"/>
        </w:rPr>
      </w:pPr>
      <w:r w:rsidRPr="004A7A42">
        <w:rPr>
          <w:sz w:val="24"/>
          <w:szCs w:val="24"/>
        </w:rPr>
        <w:t xml:space="preserve">Queen Anne’s County uses a coordinated approach to distribute CRRF resources across funding priorities identified in this plan. Funding is directed through the County departments and committees best positioned to carry out each strategy. As a result, implementation and administration of CRRF funding follows established County policies and procedures. </w:t>
      </w:r>
      <w:r w:rsidR="004F380D" w:rsidRPr="004A7A42">
        <w:rPr>
          <w:sz w:val="24"/>
          <w:szCs w:val="24"/>
        </w:rPr>
        <w:t xml:space="preserve">The approach allows the CRRC to maintain oversight of CRRC investments while drawing on existing County structures, subject matter expertise, and administrative processes. </w:t>
      </w:r>
    </w:p>
    <w:p w14:paraId="6CD5FD21" w14:textId="3C39FC3A" w:rsidR="00412E57" w:rsidRDefault="004F380D" w:rsidP="00412E57">
      <w:pPr>
        <w:pStyle w:val="Heading2"/>
        <w:rPr>
          <w:sz w:val="26"/>
          <w:szCs w:val="26"/>
        </w:rPr>
      </w:pPr>
      <w:r>
        <w:rPr>
          <w:sz w:val="26"/>
          <w:szCs w:val="26"/>
        </w:rPr>
        <w:t>C</w:t>
      </w:r>
      <w:r w:rsidR="00B81F89">
        <w:rPr>
          <w:sz w:val="26"/>
          <w:szCs w:val="26"/>
        </w:rPr>
        <w:t xml:space="preserve">ommunity Reinvestment and </w:t>
      </w:r>
      <w:r>
        <w:rPr>
          <w:sz w:val="26"/>
          <w:szCs w:val="26"/>
        </w:rPr>
        <w:t>R</w:t>
      </w:r>
      <w:r w:rsidR="00B81F89">
        <w:rPr>
          <w:sz w:val="26"/>
          <w:szCs w:val="26"/>
        </w:rPr>
        <w:t xml:space="preserve">epair </w:t>
      </w:r>
      <w:r>
        <w:rPr>
          <w:sz w:val="26"/>
          <w:szCs w:val="26"/>
        </w:rPr>
        <w:t>C</w:t>
      </w:r>
      <w:r w:rsidR="00B81F89">
        <w:rPr>
          <w:sz w:val="26"/>
          <w:szCs w:val="26"/>
        </w:rPr>
        <w:t>ommission</w:t>
      </w:r>
      <w:r>
        <w:rPr>
          <w:sz w:val="26"/>
          <w:szCs w:val="26"/>
        </w:rPr>
        <w:t xml:space="preserve"> Oversight and Funding Allocations</w:t>
      </w:r>
    </w:p>
    <w:p w14:paraId="1A58D864" w14:textId="6F47F419" w:rsidR="00B81F89" w:rsidRPr="004A7A42" w:rsidRDefault="00B81F89" w:rsidP="00412E57">
      <w:pPr>
        <w:rPr>
          <w:sz w:val="24"/>
          <w:szCs w:val="24"/>
        </w:rPr>
      </w:pPr>
      <w:r w:rsidRPr="004A7A42">
        <w:rPr>
          <w:sz w:val="24"/>
          <w:szCs w:val="24"/>
        </w:rPr>
        <w:t xml:space="preserve">Allocating and distributing CRRF funding includes several layers of oversight. The CRRC is responsible for recommending how resources should be allocated among the priorities established by County ordinance in accordance with COMAR 14.17.23. All recommendations take into consideration local data, community input, available resources, and emerging needs. Because the CRRC falls under the umbrella of the Local Management Board, the LMB Board reviews and approves allocation recommendations which are sent to the County Commissioners for final approval. </w:t>
      </w:r>
    </w:p>
    <w:p w14:paraId="7532AFD2" w14:textId="1CB00C06" w:rsidR="00A75F4E" w:rsidRPr="004A7A42" w:rsidRDefault="00F313C5" w:rsidP="00412E57">
      <w:pPr>
        <w:rPr>
          <w:sz w:val="24"/>
          <w:szCs w:val="24"/>
        </w:rPr>
      </w:pPr>
      <w:r w:rsidRPr="004A7A42">
        <w:rPr>
          <w:sz w:val="24"/>
          <w:szCs w:val="24"/>
        </w:rPr>
        <w:t xml:space="preserve">County ordinance requires funding the priorities previously outlined in this distribution plan. The CRRC distributes the CRRF allocation to the appropriate County department or LMB Committee for implementation. The implementing entity is responsible for carrying out the approved funding strategy in accordance with established County policies and procedures. </w:t>
      </w:r>
    </w:p>
    <w:p w14:paraId="3AED1EFA" w14:textId="534FE165" w:rsidR="00F313C5" w:rsidRPr="004A7A42" w:rsidRDefault="00F313C5" w:rsidP="00412E57">
      <w:pPr>
        <w:rPr>
          <w:sz w:val="24"/>
          <w:szCs w:val="24"/>
        </w:rPr>
      </w:pPr>
      <w:r w:rsidRPr="004A7A42">
        <w:rPr>
          <w:sz w:val="24"/>
          <w:szCs w:val="24"/>
        </w:rPr>
        <w:t xml:space="preserve">Implementing departments, committees, and funded providers will periodically report on </w:t>
      </w:r>
      <w:r w:rsidR="00E626C3" w:rsidRPr="004A7A42">
        <w:rPr>
          <w:sz w:val="24"/>
          <w:szCs w:val="24"/>
        </w:rPr>
        <w:t>progress</w:t>
      </w:r>
      <w:r w:rsidRPr="004A7A42">
        <w:rPr>
          <w:sz w:val="24"/>
          <w:szCs w:val="24"/>
        </w:rPr>
        <w:t xml:space="preserve">. These reports will be provided to the CRRC to support ongoing oversight and inform future funding allocation recommendations. The LMB Board will also receive regular updates on CRRC activities, funding allocations, and program implementation as part of its governance and oversight responsibilities. </w:t>
      </w:r>
    </w:p>
    <w:p w14:paraId="6118B6CB" w14:textId="4BCF177A" w:rsidR="00412E57" w:rsidRDefault="00412E57" w:rsidP="00412E57">
      <w:pPr>
        <w:pStyle w:val="Heading2"/>
        <w:rPr>
          <w:sz w:val="26"/>
          <w:szCs w:val="26"/>
        </w:rPr>
      </w:pPr>
      <w:r>
        <w:rPr>
          <w:sz w:val="26"/>
          <w:szCs w:val="26"/>
        </w:rPr>
        <w:t xml:space="preserve">Funding </w:t>
      </w:r>
      <w:r w:rsidR="0034790A">
        <w:rPr>
          <w:sz w:val="26"/>
          <w:szCs w:val="26"/>
        </w:rPr>
        <w:t>Administration and Accountability</w:t>
      </w:r>
    </w:p>
    <w:p w14:paraId="5F376655" w14:textId="58358DB2" w:rsidR="00412E57" w:rsidRPr="004A7A42" w:rsidRDefault="00D4239A" w:rsidP="00412E57">
      <w:pPr>
        <w:rPr>
          <w:sz w:val="24"/>
          <w:szCs w:val="24"/>
        </w:rPr>
      </w:pPr>
      <w:r w:rsidRPr="004A7A42">
        <w:rPr>
          <w:sz w:val="24"/>
          <w:szCs w:val="24"/>
        </w:rPr>
        <w:t xml:space="preserve">The Local Management Board administers the CRRF on behalf of Queen Anne’s County and provides administrative support to the CRRC. The LMB is responsible for maintaining official records, supporting the CRRC’s governance and oversight responsibilities, monitoring compliance with applicable County policies and COMAR 14.17.23, and completing required State reporting. </w:t>
      </w:r>
    </w:p>
    <w:p w14:paraId="0374927F" w14:textId="2A6A2261" w:rsidR="00412E57" w:rsidRDefault="00412E57" w:rsidP="00412E57">
      <w:pPr>
        <w:pStyle w:val="Heading2"/>
        <w:rPr>
          <w:sz w:val="26"/>
          <w:szCs w:val="26"/>
        </w:rPr>
      </w:pPr>
      <w:r>
        <w:rPr>
          <w:sz w:val="26"/>
          <w:szCs w:val="26"/>
        </w:rPr>
        <w:lastRenderedPageBreak/>
        <w:t>A</w:t>
      </w:r>
      <w:r w:rsidR="0034790A">
        <w:rPr>
          <w:sz w:val="26"/>
          <w:szCs w:val="26"/>
        </w:rPr>
        <w:t>nnual Review</w:t>
      </w:r>
      <w:r>
        <w:rPr>
          <w:sz w:val="26"/>
          <w:szCs w:val="26"/>
        </w:rPr>
        <w:t xml:space="preserve"> and Adjustment</w:t>
      </w:r>
    </w:p>
    <w:p w14:paraId="7E8DE552" w14:textId="696B8CB9" w:rsidR="00412E57" w:rsidRPr="004A7A42" w:rsidRDefault="006F2540" w:rsidP="00412E57">
      <w:pPr>
        <w:rPr>
          <w:sz w:val="24"/>
          <w:szCs w:val="24"/>
        </w:rPr>
      </w:pPr>
      <w:r w:rsidRPr="004A7A42">
        <w:rPr>
          <w:sz w:val="24"/>
          <w:szCs w:val="24"/>
        </w:rPr>
        <w:t xml:space="preserve">The CRRC will review available funding, assessment findings, community input, program performance, and emerging community needs each year when developing funding allocation recommendations. Funding allocations among the strategies established by County ordinance may be adjusted annually to reflect changing community conditions and available resources. </w:t>
      </w:r>
      <w:r w:rsidR="00412E57" w:rsidRPr="004A7A42">
        <w:rPr>
          <w:sz w:val="24"/>
          <w:szCs w:val="24"/>
        </w:rPr>
        <w:t xml:space="preserve"> </w:t>
      </w:r>
    </w:p>
    <w:sectPr w:rsidR="00412E57" w:rsidRPr="004A7A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86883" w14:textId="77777777" w:rsidR="00B22E32" w:rsidRDefault="00B22E32" w:rsidP="00863C08">
      <w:pPr>
        <w:spacing w:after="0" w:line="240" w:lineRule="auto"/>
      </w:pPr>
      <w:r>
        <w:separator/>
      </w:r>
    </w:p>
  </w:endnote>
  <w:endnote w:type="continuationSeparator" w:id="0">
    <w:p w14:paraId="236456FC" w14:textId="77777777" w:rsidR="00B22E32" w:rsidRDefault="00B22E32" w:rsidP="00863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A4C31" w14:textId="77777777" w:rsidR="00B22E32" w:rsidRDefault="00B22E32" w:rsidP="00863C08">
      <w:pPr>
        <w:spacing w:after="0" w:line="240" w:lineRule="auto"/>
      </w:pPr>
      <w:r>
        <w:separator/>
      </w:r>
    </w:p>
  </w:footnote>
  <w:footnote w:type="continuationSeparator" w:id="0">
    <w:p w14:paraId="47F7CAAB" w14:textId="77777777" w:rsidR="00B22E32" w:rsidRDefault="00B22E32" w:rsidP="00863C08">
      <w:pPr>
        <w:spacing w:after="0" w:line="240" w:lineRule="auto"/>
      </w:pPr>
      <w:r>
        <w:continuationSeparator/>
      </w:r>
    </w:p>
  </w:footnote>
  <w:footnote w:id="1">
    <w:p w14:paraId="29700D0F" w14:textId="54AAAEC0" w:rsidR="00CB3446" w:rsidRDefault="00CB3446">
      <w:pPr>
        <w:pStyle w:val="FootnoteText"/>
      </w:pPr>
      <w:r>
        <w:rPr>
          <w:rStyle w:val="FootnoteReference"/>
        </w:rPr>
        <w:footnoteRef/>
      </w:r>
      <w:r>
        <w:t xml:space="preserve"> </w:t>
      </w:r>
      <w:r w:rsidRPr="00CB3446">
        <w:t>Joint Center for Housing Studies of Harvard University, The State of the Nation’s Housing 2026 (Cambridge, MA: Joint Center for Housing Studies of Harvard University, 2026)</w:t>
      </w:r>
      <w:r>
        <w:t>, 23-32</w:t>
      </w:r>
    </w:p>
  </w:footnote>
  <w:footnote w:id="2">
    <w:p w14:paraId="21055FB2" w14:textId="77777777" w:rsidR="00180575" w:rsidRDefault="00180575" w:rsidP="00180575">
      <w:pPr>
        <w:pStyle w:val="FootnoteText"/>
      </w:pPr>
      <w:r>
        <w:rPr>
          <w:rStyle w:val="FootnoteReference"/>
        </w:rPr>
        <w:footnoteRef/>
      </w:r>
      <w:r>
        <w:t xml:space="preserve"> </w:t>
      </w:r>
      <w:r w:rsidRPr="00863C08">
        <w:t>Centers for Disease Control and Prevention, Economic Stability, accessed July 24, 2026, https://www.cdc.gov/prepyourhealth/discussionguides/economicstability.htm.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3219E"/>
    <w:multiLevelType w:val="hybridMultilevel"/>
    <w:tmpl w:val="A11C4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A582D"/>
    <w:multiLevelType w:val="hybridMultilevel"/>
    <w:tmpl w:val="D95C2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AB1F7C"/>
    <w:multiLevelType w:val="hybridMultilevel"/>
    <w:tmpl w:val="114AB38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2C451135"/>
    <w:multiLevelType w:val="hybridMultilevel"/>
    <w:tmpl w:val="B328A88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4E571B51"/>
    <w:multiLevelType w:val="hybridMultilevel"/>
    <w:tmpl w:val="78085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B56171"/>
    <w:multiLevelType w:val="hybridMultilevel"/>
    <w:tmpl w:val="CBDEB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2387743">
    <w:abstractNumId w:val="1"/>
  </w:num>
  <w:num w:numId="2" w16cid:durableId="1475367305">
    <w:abstractNumId w:val="4"/>
  </w:num>
  <w:num w:numId="3" w16cid:durableId="2104374438">
    <w:abstractNumId w:val="5"/>
  </w:num>
  <w:num w:numId="4" w16cid:durableId="1208108984">
    <w:abstractNumId w:val="2"/>
  </w:num>
  <w:num w:numId="5" w16cid:durableId="1281764866">
    <w:abstractNumId w:val="3"/>
  </w:num>
  <w:num w:numId="6" w16cid:durableId="591940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892"/>
    <w:rsid w:val="000015A3"/>
    <w:rsid w:val="00005A00"/>
    <w:rsid w:val="00012C13"/>
    <w:rsid w:val="000220E0"/>
    <w:rsid w:val="00022371"/>
    <w:rsid w:val="00062FFD"/>
    <w:rsid w:val="0006438D"/>
    <w:rsid w:val="00080DDC"/>
    <w:rsid w:val="000B1A6D"/>
    <w:rsid w:val="000B1E38"/>
    <w:rsid w:val="000B5497"/>
    <w:rsid w:val="00104829"/>
    <w:rsid w:val="001228FD"/>
    <w:rsid w:val="001261C0"/>
    <w:rsid w:val="00127D5F"/>
    <w:rsid w:val="00151B32"/>
    <w:rsid w:val="00162945"/>
    <w:rsid w:val="00170722"/>
    <w:rsid w:val="00180575"/>
    <w:rsid w:val="00185D88"/>
    <w:rsid w:val="0019449A"/>
    <w:rsid w:val="001B7719"/>
    <w:rsid w:val="001C1F58"/>
    <w:rsid w:val="001E5A11"/>
    <w:rsid w:val="001E69E9"/>
    <w:rsid w:val="001F0795"/>
    <w:rsid w:val="00202E69"/>
    <w:rsid w:val="002045CB"/>
    <w:rsid w:val="00212BFA"/>
    <w:rsid w:val="002231EC"/>
    <w:rsid w:val="00274DAD"/>
    <w:rsid w:val="00285F22"/>
    <w:rsid w:val="002A2B93"/>
    <w:rsid w:val="002A66E0"/>
    <w:rsid w:val="002C3F7E"/>
    <w:rsid w:val="002D5B28"/>
    <w:rsid w:val="002E43D1"/>
    <w:rsid w:val="003027A1"/>
    <w:rsid w:val="0033209F"/>
    <w:rsid w:val="00335C87"/>
    <w:rsid w:val="0034056A"/>
    <w:rsid w:val="0034790A"/>
    <w:rsid w:val="00360707"/>
    <w:rsid w:val="0038747F"/>
    <w:rsid w:val="003A1E78"/>
    <w:rsid w:val="003C119D"/>
    <w:rsid w:val="003C4838"/>
    <w:rsid w:val="003D0B2E"/>
    <w:rsid w:val="003D0BCB"/>
    <w:rsid w:val="003F3127"/>
    <w:rsid w:val="00411978"/>
    <w:rsid w:val="004119FA"/>
    <w:rsid w:val="00412E57"/>
    <w:rsid w:val="0041439D"/>
    <w:rsid w:val="00431BAB"/>
    <w:rsid w:val="00446447"/>
    <w:rsid w:val="00493437"/>
    <w:rsid w:val="004A7A42"/>
    <w:rsid w:val="004E2BC1"/>
    <w:rsid w:val="004F317B"/>
    <w:rsid w:val="004F380D"/>
    <w:rsid w:val="0050228C"/>
    <w:rsid w:val="0050236E"/>
    <w:rsid w:val="005030AA"/>
    <w:rsid w:val="00510600"/>
    <w:rsid w:val="00520FEA"/>
    <w:rsid w:val="005264AF"/>
    <w:rsid w:val="00543955"/>
    <w:rsid w:val="005F2722"/>
    <w:rsid w:val="006141B6"/>
    <w:rsid w:val="00625D82"/>
    <w:rsid w:val="00676693"/>
    <w:rsid w:val="006D75F3"/>
    <w:rsid w:val="006F2540"/>
    <w:rsid w:val="0074737D"/>
    <w:rsid w:val="00750A74"/>
    <w:rsid w:val="00763BC0"/>
    <w:rsid w:val="00765035"/>
    <w:rsid w:val="007E3FE9"/>
    <w:rsid w:val="008409FF"/>
    <w:rsid w:val="00840D95"/>
    <w:rsid w:val="00862F55"/>
    <w:rsid w:val="00863C08"/>
    <w:rsid w:val="008A3CAA"/>
    <w:rsid w:val="008A6EBA"/>
    <w:rsid w:val="008B4E28"/>
    <w:rsid w:val="008C1EA0"/>
    <w:rsid w:val="008C33A3"/>
    <w:rsid w:val="008D1B8C"/>
    <w:rsid w:val="008F4F15"/>
    <w:rsid w:val="0090018D"/>
    <w:rsid w:val="00903706"/>
    <w:rsid w:val="00944892"/>
    <w:rsid w:val="00946ABE"/>
    <w:rsid w:val="009811D3"/>
    <w:rsid w:val="009B7750"/>
    <w:rsid w:val="009D2B45"/>
    <w:rsid w:val="009D337B"/>
    <w:rsid w:val="009D6029"/>
    <w:rsid w:val="00A16AE1"/>
    <w:rsid w:val="00A25993"/>
    <w:rsid w:val="00A52BAB"/>
    <w:rsid w:val="00A75F4E"/>
    <w:rsid w:val="00AB4EC6"/>
    <w:rsid w:val="00AD65F6"/>
    <w:rsid w:val="00B22E32"/>
    <w:rsid w:val="00B326B1"/>
    <w:rsid w:val="00B52F43"/>
    <w:rsid w:val="00B633D3"/>
    <w:rsid w:val="00B81F89"/>
    <w:rsid w:val="00BA408A"/>
    <w:rsid w:val="00BC4525"/>
    <w:rsid w:val="00BD369F"/>
    <w:rsid w:val="00BD5B57"/>
    <w:rsid w:val="00C02D11"/>
    <w:rsid w:val="00C07C92"/>
    <w:rsid w:val="00C1734F"/>
    <w:rsid w:val="00C271B6"/>
    <w:rsid w:val="00C304AA"/>
    <w:rsid w:val="00C43F20"/>
    <w:rsid w:val="00C45370"/>
    <w:rsid w:val="00C86DB2"/>
    <w:rsid w:val="00CB3446"/>
    <w:rsid w:val="00CF595F"/>
    <w:rsid w:val="00D019AD"/>
    <w:rsid w:val="00D4239A"/>
    <w:rsid w:val="00D5472A"/>
    <w:rsid w:val="00DC7793"/>
    <w:rsid w:val="00E03A2B"/>
    <w:rsid w:val="00E14F6E"/>
    <w:rsid w:val="00E16C8E"/>
    <w:rsid w:val="00E626C3"/>
    <w:rsid w:val="00E64537"/>
    <w:rsid w:val="00ED24BF"/>
    <w:rsid w:val="00ED54BB"/>
    <w:rsid w:val="00EE54B3"/>
    <w:rsid w:val="00EF0267"/>
    <w:rsid w:val="00EF7CBC"/>
    <w:rsid w:val="00F10963"/>
    <w:rsid w:val="00F313C5"/>
    <w:rsid w:val="00F55C7D"/>
    <w:rsid w:val="00FA5A88"/>
    <w:rsid w:val="00FD55C4"/>
    <w:rsid w:val="00FE6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150FA"/>
  <w15:chartTrackingRefBased/>
  <w15:docId w15:val="{E3F8A9D1-4C44-454C-96A6-F941CCF16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48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448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448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48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48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48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48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48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48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8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448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448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48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48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48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48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48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4892"/>
    <w:rPr>
      <w:rFonts w:eastAsiaTheme="majorEastAsia" w:cstheme="majorBidi"/>
      <w:color w:val="272727" w:themeColor="text1" w:themeTint="D8"/>
    </w:rPr>
  </w:style>
  <w:style w:type="paragraph" w:styleId="Title">
    <w:name w:val="Title"/>
    <w:basedOn w:val="Normal"/>
    <w:next w:val="Normal"/>
    <w:link w:val="TitleChar"/>
    <w:uiPriority w:val="10"/>
    <w:qFormat/>
    <w:rsid w:val="009448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48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48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48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4892"/>
    <w:pPr>
      <w:spacing w:before="160"/>
      <w:jc w:val="center"/>
    </w:pPr>
    <w:rPr>
      <w:i/>
      <w:iCs/>
      <w:color w:val="404040" w:themeColor="text1" w:themeTint="BF"/>
    </w:rPr>
  </w:style>
  <w:style w:type="character" w:customStyle="1" w:styleId="QuoteChar">
    <w:name w:val="Quote Char"/>
    <w:basedOn w:val="DefaultParagraphFont"/>
    <w:link w:val="Quote"/>
    <w:uiPriority w:val="29"/>
    <w:rsid w:val="00944892"/>
    <w:rPr>
      <w:i/>
      <w:iCs/>
      <w:color w:val="404040" w:themeColor="text1" w:themeTint="BF"/>
    </w:rPr>
  </w:style>
  <w:style w:type="paragraph" w:styleId="ListParagraph">
    <w:name w:val="List Paragraph"/>
    <w:basedOn w:val="Normal"/>
    <w:uiPriority w:val="34"/>
    <w:qFormat/>
    <w:rsid w:val="00944892"/>
    <w:pPr>
      <w:ind w:left="720"/>
      <w:contextualSpacing/>
    </w:pPr>
  </w:style>
  <w:style w:type="character" w:styleId="IntenseEmphasis">
    <w:name w:val="Intense Emphasis"/>
    <w:basedOn w:val="DefaultParagraphFont"/>
    <w:uiPriority w:val="21"/>
    <w:qFormat/>
    <w:rsid w:val="00944892"/>
    <w:rPr>
      <w:i/>
      <w:iCs/>
      <w:color w:val="0F4761" w:themeColor="accent1" w:themeShade="BF"/>
    </w:rPr>
  </w:style>
  <w:style w:type="paragraph" w:styleId="IntenseQuote">
    <w:name w:val="Intense Quote"/>
    <w:basedOn w:val="Normal"/>
    <w:next w:val="Normal"/>
    <w:link w:val="IntenseQuoteChar"/>
    <w:uiPriority w:val="30"/>
    <w:qFormat/>
    <w:rsid w:val="009448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4892"/>
    <w:rPr>
      <w:i/>
      <w:iCs/>
      <w:color w:val="0F4761" w:themeColor="accent1" w:themeShade="BF"/>
    </w:rPr>
  </w:style>
  <w:style w:type="character" w:styleId="IntenseReference">
    <w:name w:val="Intense Reference"/>
    <w:basedOn w:val="DefaultParagraphFont"/>
    <w:uiPriority w:val="32"/>
    <w:qFormat/>
    <w:rsid w:val="00944892"/>
    <w:rPr>
      <w:b/>
      <w:bCs/>
      <w:smallCaps/>
      <w:color w:val="0F4761" w:themeColor="accent1" w:themeShade="BF"/>
      <w:spacing w:val="5"/>
    </w:rPr>
  </w:style>
  <w:style w:type="table" w:styleId="TableGrid">
    <w:name w:val="Table Grid"/>
    <w:basedOn w:val="TableNormal"/>
    <w:uiPriority w:val="39"/>
    <w:rsid w:val="00C07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C07C9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863C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3C08"/>
    <w:rPr>
      <w:sz w:val="20"/>
      <w:szCs w:val="20"/>
    </w:rPr>
  </w:style>
  <w:style w:type="character" w:styleId="FootnoteReference">
    <w:name w:val="footnote reference"/>
    <w:basedOn w:val="DefaultParagraphFont"/>
    <w:uiPriority w:val="99"/>
    <w:semiHidden/>
    <w:unhideWhenUsed/>
    <w:rsid w:val="00863C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82A15-45AC-4DD0-8ACE-57CFEFCD8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2050</TotalTime>
  <Pages>10</Pages>
  <Words>2391</Words>
  <Characters>15330</Characters>
  <Application>Microsoft Office Word</Application>
  <DocSecurity>0</DocSecurity>
  <Lines>333</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Carmody</dc:creator>
  <cp:keywords/>
  <dc:description/>
  <cp:lastModifiedBy>Rachael Carmody</cp:lastModifiedBy>
  <cp:revision>46</cp:revision>
  <cp:lastPrinted>2026-07-29T12:32:00Z</cp:lastPrinted>
  <dcterms:created xsi:type="dcterms:W3CDTF">2026-07-22T13:20:00Z</dcterms:created>
  <dcterms:modified xsi:type="dcterms:W3CDTF">2026-08-26T13:51:00Z</dcterms:modified>
</cp:coreProperties>
</file>